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5DDD" w:rsidRDefault="00000000">
      <w:pPr>
        <w:pStyle w:val="Titolo"/>
        <w:spacing w:after="240"/>
        <w:jc w:val="center"/>
      </w:pPr>
      <w:bookmarkStart w:id="0" w:name="_29omxfpgeeo0" w:colFirst="0" w:colLast="0"/>
      <w:bookmarkEnd w:id="0"/>
      <w:r>
        <w:t>Mozione siccità regionale</w:t>
      </w:r>
    </w:p>
    <w:p w14:paraId="00000002" w14:textId="77777777" w:rsidR="003A5DDD" w:rsidRDefault="00000000">
      <w:pPr>
        <w:jc w:val="both"/>
        <w:rPr>
          <w:color w:val="FF0000"/>
        </w:rPr>
      </w:pPr>
      <w:r>
        <w:rPr>
          <w:color w:val="FF0000"/>
        </w:rPr>
        <w:t xml:space="preserve">(aggiungere nello specifico cosa prevedono i Piani di Tutela delle Acque a livello regionale ed, eventualmente, l’appartenenza ad una o più autorità di bacino distrettuale idrografico, evidenziato in giallo) </w:t>
      </w:r>
    </w:p>
    <w:p w14:paraId="00000003" w14:textId="77777777" w:rsidR="003A5DDD" w:rsidRDefault="00000000">
      <w:pPr>
        <w:spacing w:before="240" w:after="240"/>
        <w:jc w:val="both"/>
        <w:rPr>
          <w:b/>
        </w:rPr>
      </w:pPr>
      <w:r>
        <w:rPr>
          <w:b/>
        </w:rPr>
        <w:t>Premesso che:</w:t>
      </w:r>
    </w:p>
    <w:p w14:paraId="00000004" w14:textId="77777777" w:rsidR="003A5DDD" w:rsidRDefault="00000000">
      <w:pPr>
        <w:spacing w:before="240" w:after="240"/>
        <w:jc w:val="both"/>
      </w:pPr>
      <w:r>
        <w:t>secondo il rapporto della Convenzione delle Nazioni Unite per combattere la desertificazione (Unccd), «</w:t>
      </w:r>
      <w:r>
        <w:rPr>
          <w:i/>
        </w:rPr>
        <w:t>Drought in Numbers 2022</w:t>
      </w:r>
      <w:r>
        <w:t>», in mancanza di una efficace strategia e di un impegno condiviso a livello globale, entro il 2050 la siccità potrebbe colpire oltre i tre quarti della popolazione mondiale;</w:t>
      </w:r>
    </w:p>
    <w:p w14:paraId="00000005" w14:textId="77777777" w:rsidR="003A5DDD" w:rsidRDefault="00000000">
      <w:pPr>
        <w:spacing w:before="240" w:after="240"/>
        <w:jc w:val="both"/>
      </w:pPr>
      <w:r>
        <w:t>il degrado dei terreni nelle aree più esposte alla desertificazione è causato principalmente dallo sfruttamento eccessivo e dall'uso inappropriato del suolo e delle acque, oltre che dalle variazioni climatiche;</w:t>
      </w:r>
    </w:p>
    <w:p w14:paraId="00000006" w14:textId="77777777" w:rsidR="003A5DDD" w:rsidRDefault="00000000">
      <w:pPr>
        <w:spacing w:before="240" w:after="240"/>
        <w:jc w:val="both"/>
      </w:pPr>
      <w:r>
        <w:t>la siccità è una delle principali cause della desertificazione che, a sua volta comporta, il declino della sua fertilità, della biodiversità che ospita, con evidenti danni complessivi anche alla salute umana, azioni i cui impatti sono fortemente inaspriti dai cambiamenti climatici;</w:t>
      </w:r>
    </w:p>
    <w:p w14:paraId="00000007" w14:textId="77777777" w:rsidR="003A5DDD" w:rsidRDefault="00000000">
      <w:pPr>
        <w:spacing w:before="240" w:after="240"/>
        <w:jc w:val="both"/>
      </w:pPr>
      <w:r>
        <w:t>come rilevato dalle categorie di settore e dalle istituzioni competenti in materia, tali fattori hanno un pesante impatto sulla disponibilità di risorse idriche anche nel nostro Paese;</w:t>
      </w:r>
    </w:p>
    <w:p w14:paraId="00000008" w14:textId="77777777" w:rsidR="003A5DDD" w:rsidRDefault="00000000">
      <w:pPr>
        <w:spacing w:before="240" w:after="240"/>
        <w:jc w:val="both"/>
      </w:pPr>
      <w:r>
        <w:t>la Società meteorologica italiana (</w:t>
      </w:r>
      <w:r>
        <w:rPr>
          <w:i/>
        </w:rPr>
        <w:t>Nimbus web</w:t>
      </w:r>
      <w:r>
        <w:t xml:space="preserve">) ha rilevato che il 2022 è entrato nella storia della climatologia italiana ed europea come un anno tra i più estremi mai registrati in termini di caldo e </w:t>
      </w:r>
      <w:r>
        <w:rPr>
          <w:i/>
        </w:rPr>
        <w:t>deficit</w:t>
      </w:r>
      <w:r>
        <w:t xml:space="preserve"> di precipitazioni, e in particolare in Italia si è rivelato il più caldo e siccitoso nella serie climatica nazionale, iniziata nel 1800 e gestita dal Cnr-Isac di Bologna, con pesanti ripercussioni sulle portate fluviali, sull'agricoltura e la produzione idroelettrica;</w:t>
      </w:r>
    </w:p>
    <w:p w14:paraId="00000009" w14:textId="77777777" w:rsidR="003A5DDD" w:rsidRDefault="00000000">
      <w:pPr>
        <w:spacing w:before="240" w:after="240"/>
        <w:jc w:val="both"/>
      </w:pPr>
      <w:r>
        <w:t>le prospettive non sembrano incoraggianti anche per il 2023. Il 10 gennaio 2023 il programma di osservazione satellitare della Terra EU-Copernicus (servizi sui cambiamenti climatici e il monitoraggio dell'atmosfera, C3S e CAMS) ha diramato l'analisi delle anomalie climatiche del 2022 in Europa e nel mondo ed evidenziato che un nuovo episodio di mitezza eccezionale ha interessato gran parte d'Europa anche tra fine dicembre 2022 e inizio gennaio 2023;</w:t>
      </w:r>
    </w:p>
    <w:p w14:paraId="0000000A" w14:textId="77777777" w:rsidR="003A5DDD" w:rsidRDefault="00000000">
      <w:pPr>
        <w:spacing w:before="240" w:after="240"/>
        <w:jc w:val="both"/>
      </w:pPr>
      <w:r>
        <w:t>si rileva inoltre che il già precario equilibrio del territorio è sempre più spesso aggravato da fenomeni pluviometrici estremi di segno diametralmente opposto, come violenti nubifragi che comportano erosione del suolo, rischio di frane, mareggiate intense, trombe d'aria e sbalzi termici, provocando frequenti e ingenti danni al territorio e al sistema produttivo;</w:t>
      </w:r>
    </w:p>
    <w:p w14:paraId="0000000B" w14:textId="77777777" w:rsidR="003A5DDD" w:rsidRDefault="00000000">
      <w:pPr>
        <w:spacing w:before="240" w:after="240"/>
        <w:jc w:val="both"/>
      </w:pPr>
      <w:r>
        <w:t>oltre all'aspetto quantitativo legato all'approvvigionamento, va considerato che il fenomeno della siccità comporta anche un decadimento della qualità della risorsa idrica, con gravi ripercussioni soprattutto per il settore agricolo. Si tratta del cosiddetto fenomeno dell'intrusione del cuneo salino, per il quale la progressiva intrusione di acqua marina a un elevato grado di salinità, determina una salinizzazione dei pozzi con cui vengono irrigate le colture, che risultano così irrimediabilmente danneggiate e un conseguente degrado dei suoli (salinizzati);</w:t>
      </w:r>
    </w:p>
    <w:p w14:paraId="0000000C" w14:textId="77777777" w:rsidR="003A5DDD" w:rsidRDefault="00000000">
      <w:pPr>
        <w:spacing w:before="240" w:after="240"/>
        <w:jc w:val="both"/>
      </w:pPr>
      <w:r>
        <w:lastRenderedPageBreak/>
        <w:t>va inoltre considerato che le infrazioni per la presenza di nitrati in falda permangono in molte zone d'Italia e gli indici di eutrofizzazione peggiorano lo stato di molti corpi idrici, con la conseguenza che la diminuzione dell'acqua in falda non può che aggravare la concentrazione dei nitrati e di altri inquinanti chimici nelle acque;</w:t>
      </w:r>
    </w:p>
    <w:p w14:paraId="0000000D" w14:textId="77777777" w:rsidR="003A5DDD" w:rsidRDefault="00000000">
      <w:pPr>
        <w:spacing w:before="240" w:after="240"/>
        <w:jc w:val="both"/>
        <w:rPr>
          <w:b/>
        </w:rPr>
      </w:pPr>
      <w:r>
        <w:rPr>
          <w:b/>
        </w:rPr>
        <w:t>Considerato che:</w:t>
      </w:r>
    </w:p>
    <w:p w14:paraId="0000000E" w14:textId="77777777" w:rsidR="003A5DDD" w:rsidRDefault="00000000">
      <w:pPr>
        <w:spacing w:before="240" w:after="240"/>
        <w:jc w:val="both"/>
      </w:pPr>
      <w:r>
        <w:t>secondo la normativa vigente (decreto legislativo n. 152 del 2006) tutte le derivazioni superficiali di acqua pubblica nei corsi d'acqua naturali sono soggette all'obbligo del mantenimento in alveo di una portata minima d'acqua, definita «deflusso minimo vitale». Tale concetto è stato poi integrato da quello di «deflusso ecologico» che ne rappresenta un'evoluzione: con esso si passa dal garantire una portata istantanea minima al garantire un regime idrologico per il raggiungimento degli obiettivi ambientali indicati dalla direttiva comunitaria quadro in materia di acque 2000/60/CE, volta a prevenire il deterioramento qualitativo e quantitativo della risorsa, a favorire il mantenimento delle biocenosi tipiche delle condizioni naturali locali e assicurarne un utilizzo sostenibile, basato sulla protezione a lungo termine delle risorse idriche disponibili, ma anche a contribuire a mitigare gli effetti delle inondazioni e della siccità;</w:t>
      </w:r>
    </w:p>
    <w:p w14:paraId="0000000F" w14:textId="77777777" w:rsidR="003A5DDD" w:rsidRDefault="00000000">
      <w:pPr>
        <w:spacing w:before="240" w:after="240"/>
        <w:jc w:val="both"/>
      </w:pPr>
      <w:r>
        <w:t>L’articolo 61 del D.Lgs. n.152/2006 attribuisce le competenze alle regioni in relazione alle norme in materia di difesa del suolo e della lotta alla desertificazione, di tutela delle acque dall’inquinamento e di gestione delle risorse idriche di cui alla parte terza del Decreto;</w:t>
      </w:r>
    </w:p>
    <w:p w14:paraId="00000010" w14:textId="77777777" w:rsidR="003A5DDD" w:rsidRDefault="00000000">
      <w:pPr>
        <w:spacing w:before="240" w:after="240"/>
        <w:jc w:val="both"/>
      </w:pPr>
      <w:r>
        <w:t xml:space="preserve">Tra i compiti delle Regioni ai sensi del citato articolo 61, rientrano la formulazione di proposte per la formazione dei programmi e redazione di studi e progetti relativi ai distretti idrografici, l’attuazione dei piani di tutela delle acque di cui all’articolo 121 del Decreto, assumendo ogni iniziativa necessaria in materia di tutela ed uso delle acque nei bacini idrografici di competenza;  </w:t>
      </w:r>
    </w:p>
    <w:p w14:paraId="00000011" w14:textId="77777777" w:rsidR="003A5DDD" w:rsidRDefault="00000000">
      <w:pPr>
        <w:spacing w:before="240" w:after="240"/>
        <w:jc w:val="both"/>
      </w:pPr>
      <w:r>
        <w:t xml:space="preserve">L’articolo 146 del D.Lgs. n.152/2006 prevede che le Regioni attuino norme volte al risparmio idrico mediante interventi infrastrutturali, di controllo e di diversificazione delle reti suddivise a seconda degli scopi di utilizzazione; </w:t>
      </w:r>
    </w:p>
    <w:p w14:paraId="00000012" w14:textId="77777777" w:rsidR="003A5DDD" w:rsidRDefault="00000000">
      <w:pPr>
        <w:spacing w:before="240" w:after="240"/>
        <w:jc w:val="both"/>
      </w:pPr>
      <w:r>
        <w:t>il risparmio della risorsa idrica e la riduzione degli sprechi richiede la transizione da un modello di gestione delle acque reflue di tipo lineare a uno, maggiormente virtuoso, basato sui principi dell'economia circolare, nel pieno rispetto delle vigenti disposizioni di tutela dell'ambiente e della salute. Nel settore agricolo il riutilizzo delle acque reflue depurate ha un potenziale rilevante, quantificabile in 9 miliardi di metri cubi all'anno, sfruttato solo per il 5 per cento ossia 475 milioni di metri cubi;</w:t>
      </w:r>
    </w:p>
    <w:p w14:paraId="00000013" w14:textId="77777777" w:rsidR="003A5DDD" w:rsidRDefault="00000000">
      <w:pPr>
        <w:spacing w:before="240" w:after="240"/>
        <w:jc w:val="center"/>
        <w:rPr>
          <w:b/>
          <w:sz w:val="26"/>
          <w:szCs w:val="26"/>
        </w:rPr>
      </w:pPr>
      <w:r>
        <w:rPr>
          <w:b/>
          <w:sz w:val="26"/>
          <w:szCs w:val="26"/>
        </w:rPr>
        <w:t>impegna la giunta regionale a:</w:t>
      </w:r>
    </w:p>
    <w:p w14:paraId="00000014" w14:textId="77777777" w:rsidR="003A5DDD" w:rsidRDefault="00000000">
      <w:pPr>
        <w:spacing w:before="240" w:after="240"/>
        <w:jc w:val="both"/>
      </w:pPr>
      <w:r>
        <w:t>ad adottare adeguate iniziative volte ad aumentare il grado di resilienza dei sistemi di approvvigionamento dei diversi comparti di utilizzo della risorsa idrica rispetto ai fenomeni di siccità, con particolare riferimento al contenimento delle dispersioni idriche;</w:t>
      </w:r>
    </w:p>
    <w:p w14:paraId="00000015" w14:textId="77777777" w:rsidR="003A5DDD" w:rsidRDefault="00000000">
      <w:pPr>
        <w:spacing w:before="240" w:after="240"/>
        <w:jc w:val="both"/>
      </w:pPr>
      <w:r>
        <w:t>a predisporre idonee iniziative normative volte a gestire le crisi idriche tali da prevedere l’attuazione di misure finalizzate alla riduzione dei prelievi idrici;</w:t>
      </w:r>
    </w:p>
    <w:p w14:paraId="00000016" w14:textId="77777777" w:rsidR="003A5DDD" w:rsidRDefault="00000000">
      <w:pPr>
        <w:spacing w:before="240" w:after="240"/>
        <w:jc w:val="both"/>
      </w:pPr>
      <w:r>
        <w:lastRenderedPageBreak/>
        <w:t>a promuovere ed incentivare sistemi e tecniche di irrigazione di precisione che consentano di regolare le portate e di ridurre l'inutile spreco della risorsa idrica;</w:t>
      </w:r>
    </w:p>
    <w:p w14:paraId="00000017" w14:textId="77777777" w:rsidR="003A5DDD" w:rsidRDefault="00000000">
      <w:pPr>
        <w:spacing w:before="240" w:after="240"/>
        <w:jc w:val="both"/>
      </w:pPr>
      <w:r>
        <w:t>ad incentivare iniziative e progetti che consentano di incrementare la capacità di depurazione con sistemi di trattamento terziario delle acque ai fini del riutilizzo dei reflui a fini irrigui, nel rispetto delle vigenti disposizioni di tutela dell'ambiente e della salute;</w:t>
      </w:r>
    </w:p>
    <w:p w14:paraId="00000018" w14:textId="77777777" w:rsidR="003A5DDD" w:rsidRDefault="00000000">
      <w:pPr>
        <w:spacing w:before="240" w:after="240"/>
        <w:jc w:val="both"/>
      </w:pPr>
      <w:r>
        <w:t>ad avviare ogni iniziativa utile volta a promuovere lo stoccaggio delle acque piovane in cisterne e/o nel sottosuolo, rendendole meno soggette ai fenomeni evaporativi, resi più intensi dall'aumento delle temperature, e ad aumentare la capacità idrica di campo incrementando il contenuto della sostanza organica nei suoli;</w:t>
      </w:r>
    </w:p>
    <w:p w14:paraId="00000019" w14:textId="77777777" w:rsidR="003A5DDD" w:rsidRDefault="00000000">
      <w:pPr>
        <w:spacing w:before="240" w:after="240"/>
        <w:jc w:val="both"/>
      </w:pPr>
      <w:r>
        <w:t xml:space="preserve">a promuovere iniziative per potenziare, </w:t>
      </w:r>
      <w:r>
        <w:rPr>
          <w:highlight w:val="yellow"/>
        </w:rPr>
        <w:t>nell'ambito delle attività di cui alle conferenze istituzionali permanenti delle autorità di bacino idrografico</w:t>
      </w:r>
      <w:r>
        <w:t>, gli strumenti e le regole di esercizio volte ad assicurare l'equilibrio del bilancio idrico, garantendo un'equa ripartizione della risorsa tra territori regionali contigui, con particolare attenzione per le deficienze idriche connesse ai periodi di siccità e scarsità della risorsa;</w:t>
      </w:r>
    </w:p>
    <w:p w14:paraId="0000001A" w14:textId="77777777" w:rsidR="003A5DDD" w:rsidRDefault="00000000">
      <w:pPr>
        <w:spacing w:before="240" w:after="240"/>
        <w:jc w:val="both"/>
      </w:pPr>
      <w:r>
        <w:t xml:space="preserve">a monitorare lo stato quantitativo dei corpi idrici e pianificare, </w:t>
      </w:r>
      <w:r>
        <w:rPr>
          <w:highlight w:val="yellow"/>
        </w:rPr>
        <w:t>di concerto con le autorità di bacino idrografico</w:t>
      </w:r>
      <w:r>
        <w:t>, le iniziative volte a contrastare gli effetti negativi delle scarse precipitazioni mediante l'acquisizione mensile dei volumi degli invasi da parte di tutti i gestori, quale condizione preventiva e necessaria per pianificare le risorse finanziarie e mitigare gli effetti della siccità su tutta la penisola;</w:t>
      </w:r>
    </w:p>
    <w:p w14:paraId="0000001B" w14:textId="77777777" w:rsidR="003A5DDD" w:rsidRDefault="00000000">
      <w:pPr>
        <w:spacing w:before="240" w:after="240"/>
        <w:jc w:val="both"/>
      </w:pPr>
      <w:r>
        <w:t>ad adottare iniziative per prevedere una riduzione di prelievi e captazioni da parte dei concessionari delle acque minerali nelle aree in cui la crisi idrica si presenti critica;</w:t>
      </w:r>
    </w:p>
    <w:p w14:paraId="0000001C" w14:textId="77777777" w:rsidR="003A5DDD" w:rsidRDefault="00000000">
      <w:pPr>
        <w:jc w:val="both"/>
      </w:pPr>
      <w:r>
        <w:t>a promuovere campagne di sensibilizzazione volte a condividere in modo solidaristico e secondo principi di proporzionalità la necessità di riduzione dei prelievi da aste fluviali e bacini da parte di tutti i soggetti derivatori.</w:t>
      </w:r>
    </w:p>
    <w:p w14:paraId="00000031" w14:textId="77777777" w:rsidR="003A5DDD" w:rsidRDefault="003A5DDD">
      <w:pPr>
        <w:jc w:val="both"/>
      </w:pPr>
    </w:p>
    <w:sectPr w:rsidR="003A5DDD">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936E" w14:textId="77777777" w:rsidR="00040B29" w:rsidRDefault="00040B29">
      <w:pPr>
        <w:spacing w:line="240" w:lineRule="auto"/>
      </w:pPr>
      <w:r>
        <w:separator/>
      </w:r>
    </w:p>
  </w:endnote>
  <w:endnote w:type="continuationSeparator" w:id="0">
    <w:p w14:paraId="5C0906F0" w14:textId="77777777" w:rsidR="00040B29" w:rsidRDefault="00040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302" w14:textId="77777777" w:rsidR="00040B29" w:rsidRDefault="00040B29">
      <w:pPr>
        <w:spacing w:line="240" w:lineRule="auto"/>
      </w:pPr>
      <w:r>
        <w:separator/>
      </w:r>
    </w:p>
  </w:footnote>
  <w:footnote w:type="continuationSeparator" w:id="0">
    <w:p w14:paraId="06C1594A" w14:textId="77777777" w:rsidR="00040B29" w:rsidRDefault="00040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3A5DDD" w:rsidRDefault="003A5D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DD"/>
    <w:rsid w:val="00040B29"/>
    <w:rsid w:val="001F12A1"/>
    <w:rsid w:val="00337EA7"/>
    <w:rsid w:val="003A5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8242"/>
  <w15:docId w15:val="{F73CB9B8-40C9-43E3-B0F8-E9E401B2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i/>
      <w:sz w:val="24"/>
      <w:szCs w:val="24"/>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Pierluigi Rossi</cp:lastModifiedBy>
  <cp:revision>3</cp:revision>
  <dcterms:created xsi:type="dcterms:W3CDTF">2023-03-17T16:04:00Z</dcterms:created>
  <dcterms:modified xsi:type="dcterms:W3CDTF">2023-03-17T16:04:00Z</dcterms:modified>
</cp:coreProperties>
</file>