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EFB7D" w14:textId="37ED974D" w:rsidR="002C1705" w:rsidRPr="00CF193E" w:rsidRDefault="002C1705" w:rsidP="00CF193E">
      <w:pPr>
        <w:spacing w:after="0"/>
        <w:jc w:val="center"/>
        <w:rPr>
          <w:rFonts w:ascii="Garamond" w:hAnsi="Garamond"/>
          <w:sz w:val="24"/>
          <w:szCs w:val="24"/>
        </w:rPr>
      </w:pPr>
      <w:r w:rsidRPr="00CF193E">
        <w:rPr>
          <w:rFonts w:ascii="Garamond" w:hAnsi="Garamond"/>
          <w:sz w:val="24"/>
          <w:szCs w:val="24"/>
        </w:rPr>
        <w:t>Mozione</w:t>
      </w:r>
    </w:p>
    <w:p w14:paraId="748BAF2A" w14:textId="77777777" w:rsidR="00112F34" w:rsidRDefault="00112F34" w:rsidP="002C1705">
      <w:pPr>
        <w:jc w:val="both"/>
        <w:rPr>
          <w:rFonts w:ascii="Garamond" w:hAnsi="Garamond"/>
          <w:sz w:val="24"/>
          <w:szCs w:val="24"/>
        </w:rPr>
      </w:pPr>
    </w:p>
    <w:p w14:paraId="39FD7E35" w14:textId="71B980B6" w:rsidR="002C1705" w:rsidRPr="00CF193E" w:rsidRDefault="002C1705" w:rsidP="002C1705">
      <w:pPr>
        <w:jc w:val="both"/>
        <w:rPr>
          <w:rFonts w:ascii="Garamond" w:hAnsi="Garamond"/>
          <w:sz w:val="24"/>
          <w:szCs w:val="24"/>
        </w:rPr>
      </w:pPr>
      <w:r w:rsidRPr="00CF193E">
        <w:rPr>
          <w:rFonts w:ascii="Garamond" w:hAnsi="Garamond"/>
          <w:sz w:val="24"/>
          <w:szCs w:val="24"/>
        </w:rPr>
        <w:t>premesso che:</w:t>
      </w:r>
    </w:p>
    <w:p w14:paraId="00000002" w14:textId="391008E8" w:rsidR="00CB7D0C" w:rsidRPr="00CF193E" w:rsidRDefault="002C1705" w:rsidP="002C1705">
      <w:pPr>
        <w:jc w:val="both"/>
        <w:rPr>
          <w:rFonts w:ascii="Garamond" w:hAnsi="Garamond"/>
          <w:sz w:val="24"/>
          <w:szCs w:val="24"/>
        </w:rPr>
      </w:pPr>
      <w:r w:rsidRPr="00CF193E">
        <w:rPr>
          <w:rFonts w:ascii="Garamond" w:hAnsi="Garamond"/>
          <w:sz w:val="24"/>
          <w:szCs w:val="24"/>
        </w:rPr>
        <w:t>l</w:t>
      </w:r>
      <w:r w:rsidR="00456C5C" w:rsidRPr="00CF193E">
        <w:rPr>
          <w:rFonts w:ascii="Garamond" w:hAnsi="Garamond"/>
          <w:sz w:val="24"/>
          <w:szCs w:val="24"/>
        </w:rPr>
        <w:t>a legge costituzionale 11 febbraio 2022, n. 1, nel modificare gli articoli 9 e 41 della Costituzione, ha riconosciuto, nell’ambito dei Principi fondamentali, un espresso rilievo alla tutela dell’ambiente, della biodiversità e degli ecosistemi</w:t>
      </w:r>
      <w:r w:rsidR="00AD1FF6" w:rsidRPr="00CF193E">
        <w:rPr>
          <w:rFonts w:ascii="Garamond" w:hAnsi="Garamond"/>
          <w:sz w:val="24"/>
          <w:szCs w:val="24"/>
        </w:rPr>
        <w:t>;</w:t>
      </w:r>
    </w:p>
    <w:p w14:paraId="00000003" w14:textId="7259F970" w:rsidR="00CB7D0C" w:rsidRPr="00CF193E" w:rsidRDefault="00AD1FF6" w:rsidP="00AD1FF6">
      <w:pPr>
        <w:jc w:val="both"/>
        <w:rPr>
          <w:rFonts w:ascii="Garamond" w:hAnsi="Garamond"/>
          <w:sz w:val="24"/>
          <w:szCs w:val="24"/>
        </w:rPr>
      </w:pPr>
      <w:r w:rsidRPr="00CF193E">
        <w:rPr>
          <w:rFonts w:ascii="Garamond" w:hAnsi="Garamond"/>
          <w:sz w:val="24"/>
          <w:szCs w:val="24"/>
        </w:rPr>
        <w:t>s</w:t>
      </w:r>
      <w:r w:rsidR="00456C5C" w:rsidRPr="00CF193E">
        <w:rPr>
          <w:rFonts w:ascii="Garamond" w:hAnsi="Garamond"/>
          <w:sz w:val="24"/>
          <w:szCs w:val="24"/>
        </w:rPr>
        <w:t>i tratta di un criterio di tutela generale che vincola l’agire dei pubblici poteri e le scelte del decisore pubblico, in una prospettiva temporale di lungo periodo che guardi anche ai bisogni delle generazioni future</w:t>
      </w:r>
      <w:r w:rsidRPr="00CF193E">
        <w:rPr>
          <w:rFonts w:ascii="Garamond" w:hAnsi="Garamond"/>
          <w:sz w:val="24"/>
          <w:szCs w:val="24"/>
        </w:rPr>
        <w:t>;</w:t>
      </w:r>
      <w:r w:rsidR="00456C5C" w:rsidRPr="00CF193E">
        <w:rPr>
          <w:rFonts w:ascii="Garamond" w:hAnsi="Garamond"/>
          <w:sz w:val="24"/>
          <w:szCs w:val="24"/>
        </w:rPr>
        <w:t xml:space="preserve"> </w:t>
      </w:r>
    </w:p>
    <w:p w14:paraId="4D0CC169" w14:textId="77777777" w:rsidR="00AD1FF6" w:rsidRPr="00CF193E" w:rsidRDefault="00AD1FF6" w:rsidP="00AD1FF6">
      <w:pPr>
        <w:jc w:val="both"/>
        <w:rPr>
          <w:rFonts w:ascii="Garamond" w:hAnsi="Garamond"/>
          <w:sz w:val="24"/>
          <w:szCs w:val="24"/>
        </w:rPr>
      </w:pPr>
      <w:r w:rsidRPr="00CF193E">
        <w:rPr>
          <w:rFonts w:ascii="Garamond" w:hAnsi="Garamond"/>
          <w:sz w:val="24"/>
          <w:szCs w:val="24"/>
        </w:rPr>
        <w:t>p</w:t>
      </w:r>
      <w:r w:rsidR="00456C5C" w:rsidRPr="00CF193E">
        <w:rPr>
          <w:rFonts w:ascii="Garamond" w:hAnsi="Garamond"/>
          <w:sz w:val="24"/>
          <w:szCs w:val="24"/>
        </w:rPr>
        <w:t>er effetto della</w:t>
      </w:r>
      <w:r w:rsidRPr="00CF193E">
        <w:rPr>
          <w:rFonts w:ascii="Garamond" w:hAnsi="Garamond"/>
          <w:sz w:val="24"/>
          <w:szCs w:val="24"/>
        </w:rPr>
        <w:t xml:space="preserve"> citata</w:t>
      </w:r>
      <w:r w:rsidR="00456C5C" w:rsidRPr="00CF193E">
        <w:rPr>
          <w:rFonts w:ascii="Garamond" w:hAnsi="Garamond"/>
          <w:sz w:val="24"/>
          <w:szCs w:val="24"/>
        </w:rPr>
        <w:t xml:space="preserve"> riforma costituzionale la biodiversità acquista una sua autonoma posizione di tutela, seppur nell'inevitabile correlazione e sinergia con la protezione dell’ambiente e degli ecosistemi</w:t>
      </w:r>
      <w:r w:rsidRPr="00CF193E">
        <w:rPr>
          <w:rFonts w:ascii="Garamond" w:hAnsi="Garamond"/>
          <w:sz w:val="24"/>
          <w:szCs w:val="24"/>
        </w:rPr>
        <w:t>;</w:t>
      </w:r>
    </w:p>
    <w:p w14:paraId="00000004" w14:textId="3B90C6F1" w:rsidR="00CB7D0C" w:rsidRPr="00CF193E" w:rsidRDefault="00AD1FF6" w:rsidP="00AD1FF6">
      <w:pPr>
        <w:jc w:val="both"/>
        <w:rPr>
          <w:rFonts w:ascii="Garamond" w:hAnsi="Garamond"/>
          <w:sz w:val="24"/>
          <w:szCs w:val="24"/>
          <w:highlight w:val="white"/>
        </w:rPr>
      </w:pPr>
      <w:r w:rsidRPr="00CF193E">
        <w:rPr>
          <w:rFonts w:ascii="Garamond" w:hAnsi="Garamond"/>
          <w:sz w:val="24"/>
          <w:szCs w:val="24"/>
          <w:highlight w:val="white"/>
        </w:rPr>
        <w:t>s</w:t>
      </w:r>
      <w:r w:rsidR="00456C5C" w:rsidRPr="00CF193E">
        <w:rPr>
          <w:rFonts w:ascii="Garamond" w:hAnsi="Garamond"/>
          <w:sz w:val="24"/>
          <w:szCs w:val="24"/>
          <w:highlight w:val="white"/>
        </w:rPr>
        <w:t xml:space="preserve">econdo la definizione della Convenzione di Rio de Janeiro sulla diversità biologica, la biodiversità deve essere intesa </w:t>
      </w:r>
      <w:r w:rsidRPr="00CF193E">
        <w:rPr>
          <w:rFonts w:ascii="Garamond" w:hAnsi="Garamond"/>
          <w:sz w:val="24"/>
          <w:szCs w:val="24"/>
          <w:highlight w:val="white"/>
        </w:rPr>
        <w:t xml:space="preserve">infatti </w:t>
      </w:r>
      <w:r w:rsidR="00456C5C" w:rsidRPr="00CF193E">
        <w:rPr>
          <w:rFonts w:ascii="Garamond" w:hAnsi="Garamond"/>
          <w:sz w:val="24"/>
          <w:szCs w:val="24"/>
          <w:highlight w:val="white"/>
        </w:rPr>
        <w:t>come la variabilità di tutti gli organismi viventi inclusi negli ecosistemi acquatici, terrestri e marini e nei complessi ecologici di cui essi sono parte</w:t>
      </w:r>
      <w:r w:rsidRPr="00CF193E">
        <w:rPr>
          <w:rFonts w:ascii="Garamond" w:hAnsi="Garamond"/>
          <w:sz w:val="24"/>
          <w:szCs w:val="24"/>
          <w:highlight w:val="white"/>
        </w:rPr>
        <w:t>;</w:t>
      </w:r>
    </w:p>
    <w:p w14:paraId="00000006" w14:textId="6C97ADCD" w:rsidR="00CB7D0C" w:rsidRPr="00CF193E" w:rsidRDefault="00AD1FF6" w:rsidP="00AD1FF6">
      <w:pPr>
        <w:jc w:val="both"/>
        <w:rPr>
          <w:rFonts w:ascii="Garamond" w:hAnsi="Garamond"/>
          <w:sz w:val="24"/>
          <w:szCs w:val="24"/>
          <w:highlight w:val="white"/>
        </w:rPr>
      </w:pPr>
      <w:r w:rsidRPr="00CF193E">
        <w:rPr>
          <w:rFonts w:ascii="Garamond" w:hAnsi="Garamond"/>
          <w:sz w:val="24"/>
          <w:szCs w:val="24"/>
        </w:rPr>
        <w:t>l</w:t>
      </w:r>
      <w:r w:rsidR="00456C5C" w:rsidRPr="00CF193E">
        <w:rPr>
          <w:rFonts w:ascii="Garamond" w:hAnsi="Garamond"/>
          <w:sz w:val="24"/>
          <w:szCs w:val="24"/>
        </w:rPr>
        <w:t xml:space="preserve">a tutela della biodiversità rientra in diversi obiettivi dell’Agenda 2030 dell’ONU per lo Sviluppo Sostenibile, come ad esempio in quelli relativi alla tutela della vita sulla terra, della vita sott’acqua, della produzione responsabile e della lotta ai cambiamenti climatici; </w:t>
      </w:r>
      <w:r w:rsidR="00456C5C" w:rsidRPr="00CF193E">
        <w:rPr>
          <w:rFonts w:ascii="Garamond" w:hAnsi="Garamond"/>
          <w:sz w:val="24"/>
          <w:szCs w:val="24"/>
        </w:rPr>
        <w:tab/>
      </w:r>
    </w:p>
    <w:p w14:paraId="7EBC85AF" w14:textId="305AEDB8" w:rsidR="00AD1FF6" w:rsidRPr="00CF193E" w:rsidRDefault="00AD1FF6" w:rsidP="00AD1FF6">
      <w:pPr>
        <w:jc w:val="both"/>
        <w:rPr>
          <w:rFonts w:ascii="Garamond" w:hAnsi="Garamond"/>
          <w:sz w:val="24"/>
          <w:szCs w:val="24"/>
        </w:rPr>
      </w:pPr>
      <w:r w:rsidRPr="00CF193E">
        <w:rPr>
          <w:rFonts w:ascii="Garamond" w:hAnsi="Garamond"/>
          <w:sz w:val="24"/>
          <w:szCs w:val="24"/>
          <w:highlight w:val="white"/>
        </w:rPr>
        <w:t>g</w:t>
      </w:r>
      <w:r w:rsidR="00456C5C" w:rsidRPr="00CF193E">
        <w:rPr>
          <w:rFonts w:ascii="Garamond" w:hAnsi="Garamond"/>
          <w:sz w:val="24"/>
          <w:szCs w:val="24"/>
          <w:highlight w:val="white"/>
        </w:rPr>
        <w:t>li impatti, già osservati, dei cambiamenti climatici sugli ecosistemi e la biodiversità sono allarmanti e ad essi si sommano</w:t>
      </w:r>
      <w:r w:rsidR="009B7019" w:rsidRPr="00CF193E">
        <w:rPr>
          <w:rFonts w:ascii="Garamond" w:hAnsi="Garamond"/>
          <w:sz w:val="24"/>
          <w:szCs w:val="24"/>
          <w:highlight w:val="white"/>
        </w:rPr>
        <w:t xml:space="preserve"> quelli riconducibili al</w:t>
      </w:r>
      <w:r w:rsidR="00456C5C" w:rsidRPr="00CF193E">
        <w:rPr>
          <w:rFonts w:ascii="Garamond" w:hAnsi="Garamond"/>
          <w:sz w:val="24"/>
          <w:szCs w:val="24"/>
        </w:rPr>
        <w:t>le attività antropiche</w:t>
      </w:r>
      <w:r w:rsidRPr="00CF193E">
        <w:rPr>
          <w:rFonts w:ascii="Garamond" w:hAnsi="Garamond"/>
          <w:sz w:val="24"/>
          <w:szCs w:val="24"/>
        </w:rPr>
        <w:t>;</w:t>
      </w:r>
    </w:p>
    <w:p w14:paraId="00000009" w14:textId="5F6D549C" w:rsidR="00CB7D0C" w:rsidRPr="00CF193E" w:rsidRDefault="00AD1FF6" w:rsidP="00AD1FF6">
      <w:pPr>
        <w:jc w:val="both"/>
        <w:rPr>
          <w:rFonts w:ascii="Garamond" w:hAnsi="Garamond"/>
          <w:sz w:val="24"/>
          <w:szCs w:val="24"/>
        </w:rPr>
      </w:pPr>
      <w:r w:rsidRPr="00CF193E">
        <w:rPr>
          <w:rFonts w:ascii="Garamond" w:hAnsi="Garamond"/>
          <w:sz w:val="24"/>
          <w:szCs w:val="24"/>
        </w:rPr>
        <w:t>l</w:t>
      </w:r>
      <w:r w:rsidR="00456C5C" w:rsidRPr="00CF193E">
        <w:rPr>
          <w:rFonts w:ascii="Garamond" w:hAnsi="Garamond"/>
          <w:sz w:val="24"/>
          <w:szCs w:val="24"/>
        </w:rPr>
        <w:t>’accordo di Parigi del 2015 ha previsto iniziative volte a limitare l’innalzamento della temperatura globale del Pianeta a 1</w:t>
      </w:r>
      <w:r w:rsidR="00C64E22" w:rsidRPr="00CF193E">
        <w:rPr>
          <w:rFonts w:ascii="Garamond" w:hAnsi="Garamond"/>
          <w:sz w:val="24"/>
          <w:szCs w:val="24"/>
        </w:rPr>
        <w:t>,</w:t>
      </w:r>
      <w:r w:rsidR="00456C5C" w:rsidRPr="00CF193E">
        <w:rPr>
          <w:rFonts w:ascii="Garamond" w:hAnsi="Garamond"/>
          <w:sz w:val="24"/>
          <w:szCs w:val="24"/>
        </w:rPr>
        <w:t>5 gradi centigradi, invitando l’organismo internazionale per la valutazione dei cambiamenti climatici IPPC (</w:t>
      </w:r>
      <w:r w:rsidR="00456C5C" w:rsidRPr="00CF193E">
        <w:rPr>
          <w:rFonts w:ascii="Garamond" w:hAnsi="Garamond"/>
          <w:i/>
          <w:sz w:val="24"/>
          <w:szCs w:val="24"/>
        </w:rPr>
        <w:t>Intergovernmental Panel on Climate Change</w:t>
      </w:r>
      <w:r w:rsidR="00456C5C" w:rsidRPr="00CF193E">
        <w:rPr>
          <w:rFonts w:ascii="Garamond" w:hAnsi="Garamond"/>
          <w:sz w:val="24"/>
          <w:szCs w:val="24"/>
        </w:rPr>
        <w:t>), per tramite della Convenzione Quadro per i Cambiamenti Climatici (</w:t>
      </w:r>
      <w:r w:rsidR="00456C5C" w:rsidRPr="00CF193E">
        <w:rPr>
          <w:rFonts w:ascii="Garamond" w:hAnsi="Garamond"/>
          <w:i/>
          <w:sz w:val="24"/>
          <w:szCs w:val="24"/>
        </w:rPr>
        <w:t>United Nations Framework Convention on Climate Change, UNFCCC</w:t>
      </w:r>
      <w:r w:rsidR="00456C5C" w:rsidRPr="00CF193E">
        <w:rPr>
          <w:rFonts w:ascii="Garamond" w:hAnsi="Garamond"/>
          <w:sz w:val="24"/>
          <w:szCs w:val="24"/>
        </w:rPr>
        <w:t>) a redigere un rapporto speciale sugli impatti del riscaldamento globale</w:t>
      </w:r>
      <w:r w:rsidR="00D55155" w:rsidRPr="00CF193E">
        <w:rPr>
          <w:rFonts w:ascii="Garamond" w:hAnsi="Garamond"/>
          <w:sz w:val="24"/>
          <w:szCs w:val="24"/>
        </w:rPr>
        <w:t>. I</w:t>
      </w:r>
      <w:r w:rsidRPr="00CF193E">
        <w:rPr>
          <w:rFonts w:ascii="Garamond" w:hAnsi="Garamond"/>
          <w:sz w:val="24"/>
          <w:szCs w:val="24"/>
        </w:rPr>
        <w:t>l citato rapporto</w:t>
      </w:r>
      <w:r w:rsidR="00456C5C" w:rsidRPr="00CF193E">
        <w:rPr>
          <w:rFonts w:ascii="Garamond" w:hAnsi="Garamond"/>
          <w:sz w:val="24"/>
          <w:szCs w:val="24"/>
        </w:rPr>
        <w:t xml:space="preserve"> ha evidenziato come alcuni degli impatti dovuti all’innalzamento di 1,5 gradi centigradi delle temperature terrestri potrebbero essere di lunga durata o irreversibili; </w:t>
      </w:r>
      <w:r w:rsidR="00456C5C" w:rsidRPr="00CF193E">
        <w:rPr>
          <w:rFonts w:ascii="Garamond" w:hAnsi="Garamond"/>
          <w:sz w:val="24"/>
          <w:szCs w:val="24"/>
        </w:rPr>
        <w:tab/>
        <w:t xml:space="preserve"> </w:t>
      </w:r>
      <w:r w:rsidR="00456C5C" w:rsidRPr="00CF193E">
        <w:rPr>
          <w:rFonts w:ascii="Garamond" w:hAnsi="Garamond"/>
          <w:sz w:val="24"/>
          <w:szCs w:val="24"/>
        </w:rPr>
        <w:tab/>
      </w:r>
    </w:p>
    <w:p w14:paraId="0000000B" w14:textId="4280DD96" w:rsidR="00CB7D0C" w:rsidRPr="00CF193E" w:rsidRDefault="00AD1FF6" w:rsidP="00AD1FF6">
      <w:pPr>
        <w:jc w:val="both"/>
        <w:rPr>
          <w:rFonts w:ascii="Garamond" w:hAnsi="Garamond"/>
          <w:sz w:val="24"/>
          <w:szCs w:val="24"/>
        </w:rPr>
      </w:pPr>
      <w:r w:rsidRPr="00CF193E">
        <w:rPr>
          <w:rFonts w:ascii="Garamond" w:hAnsi="Garamond"/>
          <w:sz w:val="24"/>
          <w:szCs w:val="24"/>
        </w:rPr>
        <w:t>n</w:t>
      </w:r>
      <w:r w:rsidR="00456C5C" w:rsidRPr="00CF193E">
        <w:rPr>
          <w:rFonts w:ascii="Garamond" w:hAnsi="Garamond"/>
          <w:sz w:val="24"/>
          <w:szCs w:val="24"/>
        </w:rPr>
        <w:t xml:space="preserve">el sesto rapporto IPPC del 2022 è stato stimato che l’attuale surriscaldamento globale si attesta intorno ad 1,1 gradi centigradi, con una prospettiva di </w:t>
      </w:r>
      <w:r w:rsidRPr="00CF193E">
        <w:rPr>
          <w:rFonts w:ascii="Garamond" w:hAnsi="Garamond"/>
          <w:sz w:val="24"/>
          <w:szCs w:val="24"/>
        </w:rPr>
        <w:t>crescita</w:t>
      </w:r>
      <w:r w:rsidR="00456C5C" w:rsidRPr="00CF193E">
        <w:rPr>
          <w:rFonts w:ascii="Garamond" w:hAnsi="Garamond"/>
          <w:sz w:val="24"/>
          <w:szCs w:val="24"/>
        </w:rPr>
        <w:t xml:space="preserve"> fino a 3,2 gradi centigradi al 2100</w:t>
      </w:r>
      <w:r w:rsidR="00D55155" w:rsidRPr="00CF193E">
        <w:rPr>
          <w:rFonts w:ascii="Garamond" w:hAnsi="Garamond"/>
          <w:sz w:val="24"/>
          <w:szCs w:val="24"/>
        </w:rPr>
        <w:t>, mantenedo</w:t>
      </w:r>
      <w:r w:rsidR="00456C5C" w:rsidRPr="00CF193E">
        <w:rPr>
          <w:rFonts w:ascii="Garamond" w:hAnsi="Garamond"/>
          <w:sz w:val="24"/>
          <w:szCs w:val="24"/>
        </w:rPr>
        <w:t xml:space="preserve"> le attuali politiche ambientali. Per restare nel limite di 1,5 gradi centigradi, le emissioni dovrebbero ridursi del 60</w:t>
      </w:r>
      <w:r w:rsidR="00E946BB" w:rsidRPr="00CF193E">
        <w:rPr>
          <w:rFonts w:ascii="Garamond" w:hAnsi="Garamond"/>
          <w:sz w:val="24"/>
          <w:szCs w:val="24"/>
        </w:rPr>
        <w:t xml:space="preserve"> per cento</w:t>
      </w:r>
      <w:r w:rsidR="00456C5C" w:rsidRPr="00CF193E">
        <w:rPr>
          <w:rFonts w:ascii="Garamond" w:hAnsi="Garamond"/>
          <w:sz w:val="24"/>
          <w:szCs w:val="24"/>
        </w:rPr>
        <w:t xml:space="preserve"> nel 2035 rispetto a quelle registrate nel 2019</w:t>
      </w:r>
      <w:r w:rsidR="00E946BB" w:rsidRPr="00CF193E">
        <w:rPr>
          <w:rFonts w:ascii="Garamond" w:hAnsi="Garamond"/>
          <w:sz w:val="24"/>
          <w:szCs w:val="24"/>
        </w:rPr>
        <w:t>. E’</w:t>
      </w:r>
      <w:r w:rsidR="009B7019" w:rsidRPr="00CF193E">
        <w:rPr>
          <w:rFonts w:ascii="Garamond" w:hAnsi="Garamond"/>
          <w:sz w:val="24"/>
          <w:szCs w:val="24"/>
        </w:rPr>
        <w:t xml:space="preserve"> </w:t>
      </w:r>
      <w:r w:rsidR="00E946BB" w:rsidRPr="00CF193E">
        <w:rPr>
          <w:rFonts w:ascii="Garamond" w:hAnsi="Garamond"/>
          <w:sz w:val="24"/>
          <w:szCs w:val="24"/>
        </w:rPr>
        <w:t>stato inoltre confermato che</w:t>
      </w:r>
      <w:r w:rsidR="00456C5C" w:rsidRPr="00CF193E">
        <w:rPr>
          <w:rFonts w:ascii="Garamond" w:hAnsi="Garamond"/>
          <w:sz w:val="24"/>
          <w:szCs w:val="24"/>
        </w:rPr>
        <w:t xml:space="preserve"> il ripristino degli ecosistemi sia fondamentale sia per il contrasto ai cambiamenti climatici che per limitare i rischi per la sicurezza alimentare; </w:t>
      </w:r>
      <w:r w:rsidR="00456C5C" w:rsidRPr="00CF193E">
        <w:rPr>
          <w:rFonts w:ascii="Garamond" w:hAnsi="Garamond"/>
          <w:sz w:val="24"/>
          <w:szCs w:val="24"/>
        </w:rPr>
        <w:tab/>
        <w:t xml:space="preserve"> </w:t>
      </w:r>
      <w:r w:rsidR="00456C5C" w:rsidRPr="00CF193E">
        <w:rPr>
          <w:rFonts w:ascii="Garamond" w:hAnsi="Garamond"/>
          <w:sz w:val="24"/>
          <w:szCs w:val="24"/>
        </w:rPr>
        <w:tab/>
      </w:r>
    </w:p>
    <w:p w14:paraId="73EFE85D" w14:textId="14581C71" w:rsidR="009B7019" w:rsidRPr="00CF193E" w:rsidRDefault="00E946BB" w:rsidP="00AD1FF6">
      <w:pPr>
        <w:jc w:val="both"/>
        <w:rPr>
          <w:rFonts w:ascii="Garamond" w:hAnsi="Garamond"/>
          <w:sz w:val="24"/>
          <w:szCs w:val="24"/>
        </w:rPr>
      </w:pPr>
      <w:r w:rsidRPr="00CF193E">
        <w:rPr>
          <w:rFonts w:ascii="Garamond" w:hAnsi="Garamond"/>
          <w:sz w:val="24"/>
          <w:szCs w:val="24"/>
        </w:rPr>
        <w:t>i</w:t>
      </w:r>
      <w:r w:rsidR="00456C5C" w:rsidRPr="00CF193E">
        <w:rPr>
          <w:rFonts w:ascii="Garamond" w:hAnsi="Garamond"/>
          <w:sz w:val="24"/>
          <w:szCs w:val="24"/>
        </w:rPr>
        <w:t xml:space="preserve">l “Green Deal” Europeo prevede una serie di azioni volte al raggiungimento della neutralità climatica entro il 2050, </w:t>
      </w:r>
      <w:r w:rsidRPr="00CF193E">
        <w:rPr>
          <w:rFonts w:ascii="Garamond" w:hAnsi="Garamond"/>
          <w:sz w:val="24"/>
          <w:szCs w:val="24"/>
        </w:rPr>
        <w:t>sul presupposto di una</w:t>
      </w:r>
      <w:r w:rsidR="00456C5C" w:rsidRPr="00CF193E">
        <w:rPr>
          <w:rFonts w:ascii="Garamond" w:hAnsi="Garamond"/>
          <w:sz w:val="24"/>
          <w:szCs w:val="24"/>
        </w:rPr>
        <w:t xml:space="preserve"> crescita economica </w:t>
      </w:r>
      <w:r w:rsidRPr="00CF193E">
        <w:rPr>
          <w:rFonts w:ascii="Garamond" w:hAnsi="Garamond"/>
          <w:sz w:val="24"/>
          <w:szCs w:val="24"/>
        </w:rPr>
        <w:t xml:space="preserve">slegata </w:t>
      </w:r>
      <w:r w:rsidR="00456C5C" w:rsidRPr="00CF193E">
        <w:rPr>
          <w:rFonts w:ascii="Garamond" w:hAnsi="Garamond"/>
          <w:sz w:val="24"/>
          <w:szCs w:val="24"/>
        </w:rPr>
        <w:t>dal consumo di risorse</w:t>
      </w:r>
      <w:r w:rsidRPr="00CF193E">
        <w:rPr>
          <w:rFonts w:ascii="Garamond" w:hAnsi="Garamond"/>
          <w:sz w:val="24"/>
          <w:szCs w:val="24"/>
        </w:rPr>
        <w:t>, incentrata su</w:t>
      </w:r>
      <w:r w:rsidR="00456C5C" w:rsidRPr="00CF193E">
        <w:rPr>
          <w:rFonts w:ascii="Garamond" w:hAnsi="Garamond"/>
          <w:sz w:val="24"/>
          <w:szCs w:val="24"/>
        </w:rPr>
        <w:t xml:space="preserve"> investimenti in energia pulita, nuovi posti di lavoro </w:t>
      </w:r>
      <w:r w:rsidRPr="00CF193E">
        <w:rPr>
          <w:rFonts w:ascii="Garamond" w:hAnsi="Garamond"/>
          <w:sz w:val="24"/>
          <w:szCs w:val="24"/>
        </w:rPr>
        <w:t>indotti da</w:t>
      </w:r>
      <w:r w:rsidR="00456C5C" w:rsidRPr="00CF193E">
        <w:rPr>
          <w:rFonts w:ascii="Garamond" w:hAnsi="Garamond"/>
          <w:sz w:val="24"/>
          <w:szCs w:val="24"/>
        </w:rPr>
        <w:t xml:space="preserve">lla transizione ecologica, efficienza energetica e biodiversità; </w:t>
      </w:r>
      <w:r w:rsidR="00456C5C" w:rsidRPr="00CF193E">
        <w:rPr>
          <w:rFonts w:ascii="Garamond" w:hAnsi="Garamond"/>
          <w:sz w:val="24"/>
          <w:szCs w:val="24"/>
        </w:rPr>
        <w:tab/>
      </w:r>
      <w:r w:rsidR="00456C5C" w:rsidRPr="00CF193E">
        <w:rPr>
          <w:rFonts w:ascii="Garamond" w:hAnsi="Garamond"/>
          <w:sz w:val="24"/>
          <w:szCs w:val="24"/>
        </w:rPr>
        <w:br/>
      </w:r>
      <w:r w:rsidRPr="00CF193E">
        <w:rPr>
          <w:rFonts w:ascii="Garamond" w:hAnsi="Garamond"/>
          <w:sz w:val="24"/>
          <w:szCs w:val="24"/>
        </w:rPr>
        <w:t>a tal fine l</w:t>
      </w:r>
      <w:r w:rsidR="00456C5C" w:rsidRPr="00CF193E">
        <w:rPr>
          <w:rFonts w:ascii="Garamond" w:hAnsi="Garamond"/>
          <w:sz w:val="24"/>
          <w:szCs w:val="24"/>
        </w:rPr>
        <w:t xml:space="preserve">’Unione Europea ha varato un </w:t>
      </w:r>
      <w:r w:rsidR="00241862" w:rsidRPr="00CF193E">
        <w:rPr>
          <w:rFonts w:ascii="Garamond" w:hAnsi="Garamond"/>
          <w:sz w:val="24"/>
          <w:szCs w:val="24"/>
        </w:rPr>
        <w:t>complesso</w:t>
      </w:r>
      <w:r w:rsidR="00456C5C" w:rsidRPr="00CF193E">
        <w:rPr>
          <w:rFonts w:ascii="Garamond" w:hAnsi="Garamond"/>
          <w:sz w:val="24"/>
          <w:szCs w:val="24"/>
        </w:rPr>
        <w:t xml:space="preserve"> di interventi</w:t>
      </w:r>
      <w:r w:rsidRPr="00CF193E">
        <w:rPr>
          <w:rFonts w:ascii="Garamond" w:hAnsi="Garamond"/>
          <w:sz w:val="24"/>
          <w:szCs w:val="24"/>
        </w:rPr>
        <w:t>,</w:t>
      </w:r>
      <w:r w:rsidR="00456C5C" w:rsidRPr="00CF193E">
        <w:rPr>
          <w:rFonts w:ascii="Garamond" w:hAnsi="Garamond"/>
          <w:sz w:val="24"/>
          <w:szCs w:val="24"/>
        </w:rPr>
        <w:t xml:space="preserve"> </w:t>
      </w:r>
      <w:r w:rsidR="00241862" w:rsidRPr="00CF193E">
        <w:rPr>
          <w:rFonts w:ascii="Garamond" w:hAnsi="Garamond"/>
          <w:sz w:val="24"/>
          <w:szCs w:val="24"/>
        </w:rPr>
        <w:t>il c.d. “pacchetto</w:t>
      </w:r>
      <w:r w:rsidR="00456C5C" w:rsidRPr="00CF193E">
        <w:rPr>
          <w:rFonts w:ascii="Garamond" w:hAnsi="Garamond"/>
          <w:sz w:val="24"/>
          <w:szCs w:val="24"/>
        </w:rPr>
        <w:t xml:space="preserve"> </w:t>
      </w:r>
      <w:r w:rsidR="00456C5C" w:rsidRPr="00CF193E">
        <w:rPr>
          <w:rFonts w:ascii="Garamond" w:hAnsi="Garamond"/>
          <w:i/>
          <w:sz w:val="24"/>
          <w:szCs w:val="24"/>
        </w:rPr>
        <w:t>Fit for 55</w:t>
      </w:r>
      <w:r w:rsidR="00456C5C" w:rsidRPr="00CF193E">
        <w:rPr>
          <w:rFonts w:ascii="Garamond" w:hAnsi="Garamond"/>
          <w:sz w:val="24"/>
          <w:szCs w:val="24"/>
        </w:rPr>
        <w:t>”</w:t>
      </w:r>
      <w:r w:rsidRPr="00CF193E">
        <w:rPr>
          <w:rFonts w:ascii="Garamond" w:hAnsi="Garamond"/>
          <w:sz w:val="24"/>
          <w:szCs w:val="24"/>
        </w:rPr>
        <w:t>,</w:t>
      </w:r>
      <w:r w:rsidR="00456C5C" w:rsidRPr="00CF193E">
        <w:rPr>
          <w:rFonts w:ascii="Garamond" w:hAnsi="Garamond"/>
          <w:sz w:val="24"/>
          <w:szCs w:val="24"/>
        </w:rPr>
        <w:t xml:space="preserve"> che mira ad una riduzione delle emissioni del 55</w:t>
      </w:r>
      <w:r w:rsidRPr="00CF193E">
        <w:rPr>
          <w:rFonts w:ascii="Garamond" w:hAnsi="Garamond"/>
          <w:sz w:val="24"/>
          <w:szCs w:val="24"/>
        </w:rPr>
        <w:t xml:space="preserve"> per cento</w:t>
      </w:r>
      <w:r w:rsidR="00456C5C" w:rsidRPr="00CF193E">
        <w:rPr>
          <w:rFonts w:ascii="Garamond" w:hAnsi="Garamond"/>
          <w:sz w:val="24"/>
          <w:szCs w:val="24"/>
        </w:rPr>
        <w:t xml:space="preserve"> rispetto al 1991, </w:t>
      </w:r>
      <w:r w:rsidRPr="00CF193E">
        <w:rPr>
          <w:rFonts w:ascii="Garamond" w:hAnsi="Garamond"/>
          <w:sz w:val="24"/>
          <w:szCs w:val="24"/>
        </w:rPr>
        <w:t>attraverso la revisione e l’aggiornamento della normativa in diversi ambiti di intervento, tra i quali</w:t>
      </w:r>
      <w:r w:rsidR="00456C5C" w:rsidRPr="00CF193E">
        <w:rPr>
          <w:rFonts w:ascii="Garamond" w:hAnsi="Garamond"/>
          <w:sz w:val="24"/>
          <w:szCs w:val="24"/>
        </w:rPr>
        <w:t xml:space="preserve"> </w:t>
      </w:r>
      <w:r w:rsidRPr="00CF193E">
        <w:rPr>
          <w:rFonts w:ascii="Garamond" w:hAnsi="Garamond"/>
          <w:sz w:val="24"/>
          <w:szCs w:val="24"/>
        </w:rPr>
        <w:t>le</w:t>
      </w:r>
      <w:r w:rsidR="00456C5C" w:rsidRPr="00CF193E">
        <w:rPr>
          <w:rFonts w:ascii="Garamond" w:hAnsi="Garamond"/>
          <w:sz w:val="24"/>
          <w:szCs w:val="24"/>
        </w:rPr>
        <w:t xml:space="preserve"> emissioni dovute al trasporto su gomma, l’efficientamento</w:t>
      </w:r>
      <w:r w:rsidRPr="00CF193E">
        <w:rPr>
          <w:rFonts w:ascii="Garamond" w:hAnsi="Garamond"/>
          <w:sz w:val="24"/>
          <w:szCs w:val="24"/>
        </w:rPr>
        <w:t xml:space="preserve"> </w:t>
      </w:r>
      <w:r w:rsidR="00456C5C" w:rsidRPr="00CF193E">
        <w:rPr>
          <w:rFonts w:ascii="Garamond" w:hAnsi="Garamond"/>
          <w:sz w:val="24"/>
          <w:szCs w:val="24"/>
        </w:rPr>
        <w:t xml:space="preserve">energetico e </w:t>
      </w:r>
      <w:r w:rsidR="007868B9" w:rsidRPr="00CF193E">
        <w:rPr>
          <w:rFonts w:ascii="Garamond" w:hAnsi="Garamond"/>
          <w:sz w:val="24"/>
          <w:szCs w:val="24"/>
        </w:rPr>
        <w:t xml:space="preserve">i </w:t>
      </w:r>
      <w:r w:rsidR="00456C5C" w:rsidRPr="00CF193E">
        <w:rPr>
          <w:rFonts w:ascii="Garamond" w:hAnsi="Garamond"/>
          <w:sz w:val="24"/>
          <w:szCs w:val="24"/>
        </w:rPr>
        <w:t xml:space="preserve">combustibili </w:t>
      </w:r>
      <w:r w:rsidR="007868B9" w:rsidRPr="00CF193E">
        <w:rPr>
          <w:rFonts w:ascii="Garamond" w:hAnsi="Garamond"/>
          <w:sz w:val="24"/>
          <w:szCs w:val="24"/>
        </w:rPr>
        <w:t>a nullo o a basso impatto ambientale</w:t>
      </w:r>
      <w:r w:rsidR="00456C5C" w:rsidRPr="00CF193E">
        <w:rPr>
          <w:rFonts w:ascii="Garamond" w:hAnsi="Garamond"/>
          <w:sz w:val="24"/>
          <w:szCs w:val="24"/>
        </w:rPr>
        <w:t>;</w:t>
      </w:r>
    </w:p>
    <w:p w14:paraId="647CA329" w14:textId="18DA9378" w:rsidR="00D471A2" w:rsidRPr="00CF193E" w:rsidRDefault="00D26297" w:rsidP="00AD1FF6">
      <w:pPr>
        <w:jc w:val="both"/>
        <w:rPr>
          <w:rFonts w:ascii="Garamond" w:hAnsi="Garamond"/>
          <w:sz w:val="24"/>
          <w:szCs w:val="24"/>
        </w:rPr>
      </w:pPr>
      <w:r w:rsidRPr="00CF193E">
        <w:rPr>
          <w:rFonts w:ascii="Garamond" w:hAnsi="Garamond"/>
          <w:sz w:val="24"/>
          <w:szCs w:val="24"/>
        </w:rPr>
        <w:t>t</w:t>
      </w:r>
      <w:r w:rsidR="00456C5C" w:rsidRPr="00CF193E">
        <w:rPr>
          <w:rFonts w:ascii="Garamond" w:hAnsi="Garamond"/>
          <w:sz w:val="24"/>
          <w:szCs w:val="24"/>
        </w:rPr>
        <w:t xml:space="preserve">ra le misure del pacchetto </w:t>
      </w:r>
      <w:r w:rsidR="00456C5C" w:rsidRPr="00CF193E">
        <w:rPr>
          <w:rFonts w:ascii="Garamond" w:hAnsi="Garamond"/>
          <w:i/>
          <w:sz w:val="24"/>
          <w:szCs w:val="24"/>
        </w:rPr>
        <w:t>Fit for 55</w:t>
      </w:r>
      <w:r w:rsidR="00456C5C" w:rsidRPr="00CF193E">
        <w:rPr>
          <w:rFonts w:ascii="Garamond" w:hAnsi="Garamond"/>
          <w:sz w:val="24"/>
          <w:szCs w:val="24"/>
        </w:rPr>
        <w:t xml:space="preserve"> è inoltre presente anche un impegno vincolante a ridurre le emissioni e aumentare </w:t>
      </w:r>
      <w:r w:rsidRPr="00CF193E">
        <w:rPr>
          <w:rFonts w:ascii="Garamond" w:hAnsi="Garamond"/>
          <w:sz w:val="24"/>
          <w:szCs w:val="24"/>
        </w:rPr>
        <w:t>l’</w:t>
      </w:r>
      <w:r w:rsidR="00456C5C" w:rsidRPr="00CF193E">
        <w:rPr>
          <w:rFonts w:ascii="Garamond" w:hAnsi="Garamond"/>
          <w:sz w:val="24"/>
          <w:szCs w:val="24"/>
        </w:rPr>
        <w:t>assorbiment</w:t>
      </w:r>
      <w:r w:rsidRPr="00CF193E">
        <w:rPr>
          <w:rFonts w:ascii="Garamond" w:hAnsi="Garamond"/>
          <w:sz w:val="24"/>
          <w:szCs w:val="24"/>
        </w:rPr>
        <w:t>o di CO2</w:t>
      </w:r>
      <w:r w:rsidR="00456C5C" w:rsidRPr="00CF193E">
        <w:rPr>
          <w:rFonts w:ascii="Garamond" w:hAnsi="Garamond"/>
          <w:sz w:val="24"/>
          <w:szCs w:val="24"/>
        </w:rPr>
        <w:t xml:space="preserve"> all’interno del regolamento sull'uso del suolo, sul cambiamento di uso del suolo e sulla silvicoltura (LULUCF); </w:t>
      </w:r>
    </w:p>
    <w:p w14:paraId="7BFC1F84" w14:textId="58347AB3" w:rsidR="00D55155" w:rsidRPr="00CF193E" w:rsidRDefault="00D471A2" w:rsidP="00D55155">
      <w:pPr>
        <w:pStyle w:val="NormaleWeb"/>
        <w:shd w:val="clear" w:color="auto" w:fill="FFFFFF"/>
        <w:spacing w:before="270" w:beforeAutospacing="0" w:after="0" w:afterAutospacing="0"/>
        <w:jc w:val="both"/>
        <w:rPr>
          <w:rFonts w:ascii="Garamond" w:eastAsia="Calibri" w:hAnsi="Garamond" w:cs="Calibri"/>
        </w:rPr>
      </w:pPr>
      <w:r w:rsidRPr="00CF193E">
        <w:rPr>
          <w:rFonts w:ascii="Garamond" w:eastAsia="Calibri" w:hAnsi="Garamond" w:cs="Calibri"/>
        </w:rPr>
        <w:lastRenderedPageBreak/>
        <w:t>il suolo è una risorsa preziosa e non rinnovabile che richiede efficaci strumenti di tutela. Come noto, in esso si concentra il 90</w:t>
      </w:r>
      <w:r w:rsidR="00CF193E" w:rsidRPr="00CF193E">
        <w:rPr>
          <w:rFonts w:ascii="Garamond" w:eastAsia="Calibri" w:hAnsi="Garamond" w:cs="Calibri"/>
        </w:rPr>
        <w:t xml:space="preserve"> per cento</w:t>
      </w:r>
      <w:r w:rsidRPr="00CF193E">
        <w:rPr>
          <w:rFonts w:ascii="Garamond" w:eastAsia="Calibri" w:hAnsi="Garamond" w:cs="Calibri"/>
        </w:rPr>
        <w:t xml:space="preserve"> della biodiversità del pianeta e svolge un’importante funzione nel contrasto alla crisi climatica grazie alla sua capacità di fissare in modo stabile la CO2 dall’atmosfera. La sostanza organica presente nel suolo ne facilita, infatti, il riscaldamento, ne previene l’essiccamento, migliora il trattenimento dell’acqua, ne stabilizza la struttura e incrementa la permeabilità, intrappola e rilascia i nutrienti minerali, supporta la vita microbica e la biodiversità;  </w:t>
      </w:r>
    </w:p>
    <w:p w14:paraId="7D97B562" w14:textId="2A4719EA" w:rsidR="00D36546" w:rsidRPr="00CF193E" w:rsidRDefault="00D36546" w:rsidP="00D55155">
      <w:pPr>
        <w:pStyle w:val="NormaleWeb"/>
        <w:shd w:val="clear" w:color="auto" w:fill="FFFFFF"/>
        <w:spacing w:before="270" w:beforeAutospacing="0" w:after="0" w:afterAutospacing="0"/>
        <w:jc w:val="both"/>
        <w:rPr>
          <w:rFonts w:ascii="Garamond" w:eastAsia="Calibri" w:hAnsi="Garamond" w:cs="Calibri"/>
        </w:rPr>
      </w:pPr>
      <w:r w:rsidRPr="00CF193E">
        <w:rPr>
          <w:rFonts w:ascii="Garamond" w:eastAsia="Calibri" w:hAnsi="Garamond" w:cs="Calibri"/>
        </w:rPr>
        <w:t xml:space="preserve">a tale riguardo, la </w:t>
      </w:r>
      <w:r w:rsidR="00824769" w:rsidRPr="00CF193E">
        <w:rPr>
          <w:rFonts w:ascii="Garamond" w:eastAsia="Calibri" w:hAnsi="Garamond" w:cs="Calibri"/>
        </w:rPr>
        <w:t>C</w:t>
      </w:r>
      <w:r w:rsidRPr="00CF193E">
        <w:rPr>
          <w:rFonts w:ascii="Garamond" w:eastAsia="Calibri" w:hAnsi="Garamond" w:cs="Calibri"/>
        </w:rPr>
        <w:t xml:space="preserve">ommissione </w:t>
      </w:r>
      <w:r w:rsidR="00824769" w:rsidRPr="00CF193E">
        <w:rPr>
          <w:rFonts w:ascii="Garamond" w:eastAsia="Calibri" w:hAnsi="Garamond" w:cs="Calibri"/>
        </w:rPr>
        <w:t>e</w:t>
      </w:r>
      <w:r w:rsidRPr="00CF193E">
        <w:rPr>
          <w:rFonts w:ascii="Garamond" w:eastAsia="Calibri" w:hAnsi="Garamond" w:cs="Calibri"/>
        </w:rPr>
        <w:t>urop</w:t>
      </w:r>
      <w:r w:rsidR="00824769" w:rsidRPr="00CF193E">
        <w:rPr>
          <w:rFonts w:ascii="Garamond" w:eastAsia="Calibri" w:hAnsi="Garamond" w:cs="Calibri"/>
        </w:rPr>
        <w:t>e</w:t>
      </w:r>
      <w:r w:rsidRPr="00CF193E">
        <w:rPr>
          <w:rFonts w:ascii="Garamond" w:eastAsia="Calibri" w:hAnsi="Garamond" w:cs="Calibri"/>
        </w:rPr>
        <w:t>a ha recentemente adottato una proposta di regolamento</w:t>
      </w:r>
      <w:r w:rsidR="0031737C" w:rsidRPr="00CF193E">
        <w:rPr>
          <w:rFonts w:ascii="Garamond" w:eastAsia="Calibri" w:hAnsi="Garamond" w:cs="Calibri"/>
        </w:rPr>
        <w:t xml:space="preserve"> (COM (2022)672)</w:t>
      </w:r>
      <w:r w:rsidR="00EC4AB8" w:rsidRPr="00CF193E">
        <w:rPr>
          <w:rFonts w:ascii="Garamond" w:eastAsia="Calibri" w:hAnsi="Garamond" w:cs="Calibri"/>
        </w:rPr>
        <w:t xml:space="preserve">, </w:t>
      </w:r>
      <w:r w:rsidR="0031737C" w:rsidRPr="00CF193E">
        <w:rPr>
          <w:rFonts w:ascii="Garamond" w:eastAsia="Calibri" w:hAnsi="Garamond" w:cs="Calibri"/>
        </w:rPr>
        <w:t>al</w:t>
      </w:r>
      <w:r w:rsidR="00EC4AB8" w:rsidRPr="00CF193E">
        <w:rPr>
          <w:rFonts w:ascii="Garamond" w:eastAsia="Calibri" w:hAnsi="Garamond" w:cs="Calibri"/>
        </w:rPr>
        <w:t xml:space="preserve">l’esame </w:t>
      </w:r>
      <w:r w:rsidR="0031737C" w:rsidRPr="00CF193E">
        <w:rPr>
          <w:rFonts w:ascii="Garamond" w:eastAsia="Calibri" w:hAnsi="Garamond" w:cs="Calibri"/>
        </w:rPr>
        <w:t>d</w:t>
      </w:r>
      <w:r w:rsidR="00EC4AB8" w:rsidRPr="00CF193E">
        <w:rPr>
          <w:rFonts w:ascii="Garamond" w:eastAsia="Calibri" w:hAnsi="Garamond" w:cs="Calibri"/>
        </w:rPr>
        <w:t xml:space="preserve">elle Commissioni parlamentari competenti, </w:t>
      </w:r>
      <w:r w:rsidR="00824769" w:rsidRPr="00CF193E">
        <w:rPr>
          <w:rFonts w:ascii="Garamond" w:eastAsia="Calibri" w:hAnsi="Garamond" w:cs="Calibri"/>
        </w:rPr>
        <w:t>che istituisce</w:t>
      </w:r>
      <w:r w:rsidRPr="00CF193E">
        <w:rPr>
          <w:rFonts w:ascii="Garamond" w:eastAsia="Calibri" w:hAnsi="Garamond" w:cs="Calibri"/>
        </w:rPr>
        <w:t xml:space="preserve"> un quadro di certificazione dell’Unione per gli assorbenti di carbonio </w:t>
      </w:r>
      <w:r w:rsidR="0031737C" w:rsidRPr="00CF193E">
        <w:rPr>
          <w:rFonts w:ascii="Garamond" w:eastAsia="Calibri" w:hAnsi="Garamond" w:cs="Calibri"/>
        </w:rPr>
        <w:t>al fine di incentivare la diffusione di</w:t>
      </w:r>
      <w:r w:rsidRPr="00CF193E">
        <w:rPr>
          <w:rFonts w:ascii="Garamond" w:eastAsia="Calibri" w:hAnsi="Garamond" w:cs="Calibri"/>
        </w:rPr>
        <w:t xml:space="preserve"> “assorbimenti di alta qualità, nel pieno rispetto degli obiettivi di biodiversità e inquinamento zero”</w:t>
      </w:r>
      <w:r w:rsidR="0031737C" w:rsidRPr="00CF193E">
        <w:rPr>
          <w:rFonts w:ascii="Garamond" w:eastAsia="Calibri" w:hAnsi="Garamond" w:cs="Calibri"/>
        </w:rPr>
        <w:t>;</w:t>
      </w:r>
    </w:p>
    <w:p w14:paraId="40AD1CCB" w14:textId="31B8D235" w:rsidR="0030412A" w:rsidRPr="00CF193E" w:rsidRDefault="002B4FFB" w:rsidP="0030412A">
      <w:pPr>
        <w:pStyle w:val="NormaleWeb"/>
        <w:shd w:val="clear" w:color="auto" w:fill="FFFFFF"/>
        <w:spacing w:before="270" w:beforeAutospacing="0" w:after="0" w:afterAutospacing="0"/>
        <w:jc w:val="both"/>
        <w:rPr>
          <w:rFonts w:ascii="Garamond" w:eastAsia="Calibri" w:hAnsi="Garamond" w:cs="Calibri"/>
          <w:bCs/>
        </w:rPr>
      </w:pPr>
      <w:r w:rsidRPr="00CF193E">
        <w:rPr>
          <w:rFonts w:ascii="Garamond" w:eastAsia="Calibri" w:hAnsi="Garamond" w:cs="Calibri"/>
        </w:rPr>
        <w:t>la biodiversità contribuisce in modo determinante anche all'agricoltura e alla sicurezza alimentare</w:t>
      </w:r>
      <w:r w:rsidR="004E27DD" w:rsidRPr="00CF193E">
        <w:rPr>
          <w:rFonts w:ascii="Garamond" w:eastAsia="Calibri" w:hAnsi="Garamond" w:cs="Calibri"/>
        </w:rPr>
        <w:t>. N</w:t>
      </w:r>
      <w:r w:rsidR="0030412A" w:rsidRPr="00CF193E">
        <w:rPr>
          <w:rFonts w:ascii="Garamond" w:eastAsia="Calibri" w:hAnsi="Garamond" w:cs="Calibri"/>
        </w:rPr>
        <w:t xml:space="preserve">el 2021 il Consiglio della FAO ha approvato il Quadro d'azione sulla biodiversità per l'alimentazione e l'agricoltura, che </w:t>
      </w:r>
      <w:r w:rsidR="00714646" w:rsidRPr="00CF193E">
        <w:rPr>
          <w:rFonts w:ascii="Garamond" w:eastAsia="Calibri" w:hAnsi="Garamond" w:cs="Calibri"/>
          <w:bCs/>
        </w:rPr>
        <w:t>definisce</w:t>
      </w:r>
      <w:r w:rsidR="0030412A" w:rsidRPr="00CF193E">
        <w:rPr>
          <w:rFonts w:ascii="Garamond" w:eastAsia="Calibri" w:hAnsi="Garamond" w:cs="Calibri"/>
          <w:bCs/>
        </w:rPr>
        <w:t xml:space="preserve"> l'azione globale, nazionale e locale per contrastare la perdita di biodiversità e garantire la sicurezza alimentare</w:t>
      </w:r>
      <w:r w:rsidR="00714646" w:rsidRPr="00CF193E">
        <w:rPr>
          <w:rFonts w:ascii="Garamond" w:eastAsia="Calibri" w:hAnsi="Garamond" w:cs="Calibri"/>
          <w:bCs/>
        </w:rPr>
        <w:t>;</w:t>
      </w:r>
      <w:r w:rsidR="0030412A" w:rsidRPr="00CF193E">
        <w:rPr>
          <w:rFonts w:ascii="Garamond" w:eastAsia="Calibri" w:hAnsi="Garamond" w:cs="Calibri"/>
          <w:bCs/>
        </w:rPr>
        <w:t xml:space="preserve"> </w:t>
      </w:r>
    </w:p>
    <w:p w14:paraId="2E5FDB75" w14:textId="2D0C8E0A" w:rsidR="002B4FFB" w:rsidRPr="00CF193E" w:rsidRDefault="00714646" w:rsidP="00714646">
      <w:pPr>
        <w:pStyle w:val="NormaleWeb"/>
        <w:shd w:val="clear" w:color="auto" w:fill="FFFFFF"/>
        <w:spacing w:before="270" w:beforeAutospacing="0" w:after="0" w:afterAutospacing="0"/>
        <w:jc w:val="both"/>
        <w:rPr>
          <w:rFonts w:ascii="Garamond" w:eastAsia="Calibri" w:hAnsi="Garamond" w:cs="Calibri"/>
        </w:rPr>
      </w:pPr>
      <w:r w:rsidRPr="00CF193E">
        <w:rPr>
          <w:rFonts w:ascii="Garamond" w:eastAsia="Calibri" w:hAnsi="Garamond" w:cs="Calibri"/>
        </w:rPr>
        <w:t>l</w:t>
      </w:r>
      <w:r w:rsidR="002B4FFB" w:rsidRPr="00CF193E">
        <w:rPr>
          <w:rFonts w:ascii="Garamond" w:eastAsia="Calibri" w:hAnsi="Garamond" w:cs="Calibri"/>
        </w:rPr>
        <w:t>a biodiversità per l'alimentazione e l'agricoltura (BFA) fornisce</w:t>
      </w:r>
      <w:r w:rsidRPr="00CF193E">
        <w:rPr>
          <w:rFonts w:ascii="Garamond" w:eastAsia="Calibri" w:hAnsi="Garamond" w:cs="Calibri"/>
        </w:rPr>
        <w:t>, infatti,</w:t>
      </w:r>
      <w:r w:rsidR="002B4FFB" w:rsidRPr="00CF193E">
        <w:rPr>
          <w:rFonts w:ascii="Garamond" w:eastAsia="Calibri" w:hAnsi="Garamond" w:cs="Calibri"/>
        </w:rPr>
        <w:t xml:space="preserve"> molti servizi ecosistemici vitali, </w:t>
      </w:r>
      <w:r w:rsidR="004E27DD" w:rsidRPr="00CF193E">
        <w:rPr>
          <w:rFonts w:ascii="Garamond" w:eastAsia="Calibri" w:hAnsi="Garamond" w:cs="Calibri"/>
        </w:rPr>
        <w:t>tra i quali</w:t>
      </w:r>
      <w:r w:rsidR="002B4FFB" w:rsidRPr="00CF193E">
        <w:rPr>
          <w:rFonts w:ascii="Garamond" w:eastAsia="Calibri" w:hAnsi="Garamond" w:cs="Calibri"/>
        </w:rPr>
        <w:t xml:space="preserve"> la creazione e il mantenimento di suoli sani, l'impollinazione delle piante, il controllo dei parassiti e la fornitura di habitat per la fauna selvatica</w:t>
      </w:r>
      <w:r w:rsidRPr="00CF193E">
        <w:rPr>
          <w:rFonts w:ascii="Garamond" w:eastAsia="Calibri" w:hAnsi="Garamond" w:cs="Calibri"/>
        </w:rPr>
        <w:t xml:space="preserve">; </w:t>
      </w:r>
      <w:r w:rsidR="002B4FFB" w:rsidRPr="00CF193E">
        <w:rPr>
          <w:rFonts w:ascii="Garamond" w:eastAsia="Calibri" w:hAnsi="Garamond" w:cs="Calibri"/>
        </w:rPr>
        <w:t xml:space="preserve">servizi ecosistemici </w:t>
      </w:r>
      <w:r w:rsidRPr="00CF193E">
        <w:rPr>
          <w:rFonts w:ascii="Garamond" w:eastAsia="Calibri" w:hAnsi="Garamond" w:cs="Calibri"/>
        </w:rPr>
        <w:t>che ad oggi</w:t>
      </w:r>
      <w:r w:rsidR="002B4FFB" w:rsidRPr="00CF193E">
        <w:rPr>
          <w:rFonts w:ascii="Garamond" w:eastAsia="Calibri" w:hAnsi="Garamond" w:cs="Calibri"/>
        </w:rPr>
        <w:t xml:space="preserve"> sono in declino a causa della distruzione e del degrado degli habitat, dello sfruttamento eccessivo</w:t>
      </w:r>
      <w:r w:rsidR="004E27DD" w:rsidRPr="00CF193E">
        <w:rPr>
          <w:rFonts w:ascii="Garamond" w:eastAsia="Calibri" w:hAnsi="Garamond" w:cs="Calibri"/>
        </w:rPr>
        <w:t xml:space="preserve"> e</w:t>
      </w:r>
      <w:r w:rsidR="002B4FFB" w:rsidRPr="00CF193E">
        <w:rPr>
          <w:rFonts w:ascii="Garamond" w:eastAsia="Calibri" w:hAnsi="Garamond" w:cs="Calibri"/>
        </w:rPr>
        <w:t xml:space="preserve"> dell'inquinamento</w:t>
      </w:r>
      <w:r w:rsidRPr="00CF193E">
        <w:rPr>
          <w:rFonts w:ascii="Garamond" w:eastAsia="Calibri" w:hAnsi="Garamond" w:cs="Calibri"/>
        </w:rPr>
        <w:t>;</w:t>
      </w:r>
    </w:p>
    <w:p w14:paraId="6A376DEC" w14:textId="510AF6C0" w:rsidR="00D26297" w:rsidRPr="00CF193E" w:rsidRDefault="00D55155" w:rsidP="00D55155">
      <w:pPr>
        <w:pStyle w:val="NormaleWeb"/>
        <w:shd w:val="clear" w:color="auto" w:fill="FFFFFF"/>
        <w:spacing w:before="270" w:beforeAutospacing="0" w:after="0" w:afterAutospacing="0"/>
        <w:jc w:val="both"/>
        <w:rPr>
          <w:rFonts w:ascii="Garamond" w:hAnsi="Garamond"/>
        </w:rPr>
      </w:pPr>
      <w:r w:rsidRPr="00CF193E">
        <w:rPr>
          <w:rFonts w:ascii="Garamond" w:hAnsi="Garamond"/>
        </w:rPr>
        <w:t>in Europa</w:t>
      </w:r>
      <w:r w:rsidR="00D26297" w:rsidRPr="00CF193E">
        <w:rPr>
          <w:rFonts w:ascii="Garamond" w:hAnsi="Garamond"/>
        </w:rPr>
        <w:t xml:space="preserve"> l</w:t>
      </w:r>
      <w:r w:rsidR="00456C5C" w:rsidRPr="00CF193E">
        <w:rPr>
          <w:rFonts w:ascii="Garamond" w:hAnsi="Garamond"/>
        </w:rPr>
        <w:t>e foreste assorbono circa il 10</w:t>
      </w:r>
      <w:r w:rsidR="00D26297" w:rsidRPr="00CF193E">
        <w:rPr>
          <w:rFonts w:ascii="Garamond" w:hAnsi="Garamond"/>
        </w:rPr>
        <w:t xml:space="preserve"> per cento</w:t>
      </w:r>
      <w:r w:rsidR="00456C5C" w:rsidRPr="00CF193E">
        <w:rPr>
          <w:rFonts w:ascii="Garamond" w:hAnsi="Garamond"/>
        </w:rPr>
        <w:t xml:space="preserve"> delle emissioni annuali di gas serra, attestandosi ad oltre 300 milioni di tonnellate di anidride carbonica equivalente;</w:t>
      </w:r>
    </w:p>
    <w:p w14:paraId="4EF36AAE" w14:textId="6B507C9C" w:rsidR="00D26297" w:rsidRPr="00CF193E" w:rsidRDefault="00D26297" w:rsidP="00AD1FF6">
      <w:pPr>
        <w:jc w:val="both"/>
        <w:rPr>
          <w:rFonts w:ascii="Garamond" w:hAnsi="Garamond"/>
          <w:sz w:val="24"/>
          <w:szCs w:val="24"/>
        </w:rPr>
      </w:pPr>
      <w:r w:rsidRPr="00CF193E">
        <w:rPr>
          <w:rFonts w:ascii="Garamond" w:hAnsi="Garamond"/>
          <w:sz w:val="24"/>
          <w:szCs w:val="24"/>
        </w:rPr>
        <w:t>s</w:t>
      </w:r>
      <w:r w:rsidR="00456C5C" w:rsidRPr="00CF193E">
        <w:rPr>
          <w:rFonts w:ascii="Garamond" w:hAnsi="Garamond"/>
          <w:sz w:val="24"/>
          <w:szCs w:val="24"/>
        </w:rPr>
        <w:t xml:space="preserve">econdo il Piano </w:t>
      </w:r>
      <w:r w:rsidRPr="00CF193E">
        <w:rPr>
          <w:rFonts w:ascii="Garamond" w:hAnsi="Garamond"/>
          <w:sz w:val="24"/>
          <w:szCs w:val="24"/>
        </w:rPr>
        <w:t>n</w:t>
      </w:r>
      <w:r w:rsidR="00456C5C" w:rsidRPr="00CF193E">
        <w:rPr>
          <w:rFonts w:ascii="Garamond" w:hAnsi="Garamond"/>
          <w:sz w:val="24"/>
          <w:szCs w:val="24"/>
        </w:rPr>
        <w:t xml:space="preserve">azionale di contabilizzazione forestale trasmesso dall’Italia all’Unione Europea nel 2019, </w:t>
      </w:r>
      <w:r w:rsidRPr="00CF193E">
        <w:rPr>
          <w:rFonts w:ascii="Garamond" w:hAnsi="Garamond"/>
          <w:sz w:val="24"/>
          <w:szCs w:val="24"/>
        </w:rPr>
        <w:t>il</w:t>
      </w:r>
      <w:r w:rsidR="00456C5C" w:rsidRPr="00CF193E">
        <w:rPr>
          <w:rFonts w:ascii="Garamond" w:hAnsi="Garamond"/>
          <w:sz w:val="24"/>
          <w:szCs w:val="24"/>
        </w:rPr>
        <w:t xml:space="preserve"> livello di riferimento </w:t>
      </w:r>
      <w:r w:rsidRPr="00CF193E">
        <w:rPr>
          <w:rFonts w:ascii="Garamond" w:hAnsi="Garamond"/>
          <w:sz w:val="24"/>
          <w:szCs w:val="24"/>
        </w:rPr>
        <w:t xml:space="preserve">indicato </w:t>
      </w:r>
      <w:r w:rsidR="00456C5C" w:rsidRPr="00CF193E">
        <w:rPr>
          <w:rFonts w:ascii="Garamond" w:hAnsi="Garamond"/>
          <w:sz w:val="24"/>
          <w:szCs w:val="24"/>
        </w:rPr>
        <w:t>per le foreste (</w:t>
      </w:r>
      <w:r w:rsidR="00456C5C" w:rsidRPr="00CF193E">
        <w:rPr>
          <w:rFonts w:ascii="Garamond" w:hAnsi="Garamond"/>
          <w:i/>
          <w:sz w:val="24"/>
          <w:szCs w:val="24"/>
        </w:rPr>
        <w:t>Forest Reference Level, FRL</w:t>
      </w:r>
      <w:r w:rsidR="00456C5C" w:rsidRPr="00CF193E">
        <w:rPr>
          <w:rFonts w:ascii="Garamond" w:hAnsi="Garamond"/>
          <w:sz w:val="24"/>
          <w:szCs w:val="24"/>
        </w:rPr>
        <w:t>) pari a -19,656.1 chilotonnellate di anidride carbonica equivalente all’anno nel periodo</w:t>
      </w:r>
      <w:r w:rsidRPr="00CF193E">
        <w:rPr>
          <w:rFonts w:ascii="Garamond" w:hAnsi="Garamond"/>
          <w:sz w:val="24"/>
          <w:szCs w:val="24"/>
        </w:rPr>
        <w:t xml:space="preserve"> </w:t>
      </w:r>
      <w:r w:rsidR="00456C5C" w:rsidRPr="00CF193E">
        <w:rPr>
          <w:rFonts w:ascii="Garamond" w:hAnsi="Garamond"/>
          <w:sz w:val="24"/>
          <w:szCs w:val="24"/>
        </w:rPr>
        <w:t>2021-2025;</w:t>
      </w:r>
    </w:p>
    <w:p w14:paraId="0684F071" w14:textId="46280079" w:rsidR="00241862" w:rsidRPr="00CF193E" w:rsidRDefault="00D26297" w:rsidP="00AD1FF6">
      <w:pPr>
        <w:jc w:val="both"/>
        <w:rPr>
          <w:rFonts w:ascii="Garamond" w:hAnsi="Garamond"/>
          <w:sz w:val="24"/>
          <w:szCs w:val="24"/>
        </w:rPr>
      </w:pPr>
      <w:r w:rsidRPr="00CF193E">
        <w:rPr>
          <w:rFonts w:ascii="Garamond" w:hAnsi="Garamond"/>
          <w:sz w:val="24"/>
          <w:szCs w:val="24"/>
        </w:rPr>
        <w:t>n</w:t>
      </w:r>
      <w:r w:rsidR="00456C5C" w:rsidRPr="00CF193E">
        <w:rPr>
          <w:rFonts w:ascii="Garamond" w:hAnsi="Garamond"/>
          <w:sz w:val="24"/>
          <w:szCs w:val="24"/>
        </w:rPr>
        <w:t>ella Conferenza delle Nazioni Unite sulla biodiversità «COP15» di Montreal del dicembre 2022, è stato adottato un pacchetto di azioni</w:t>
      </w:r>
      <w:r w:rsidR="00241862" w:rsidRPr="00CF193E">
        <w:rPr>
          <w:rFonts w:ascii="Garamond" w:hAnsi="Garamond"/>
          <w:sz w:val="24"/>
          <w:szCs w:val="24"/>
        </w:rPr>
        <w:t>, il</w:t>
      </w:r>
      <w:r w:rsidR="00456C5C" w:rsidRPr="00CF193E">
        <w:rPr>
          <w:rFonts w:ascii="Garamond" w:hAnsi="Garamond"/>
          <w:sz w:val="24"/>
          <w:szCs w:val="24"/>
        </w:rPr>
        <w:t xml:space="preserve"> </w:t>
      </w:r>
      <w:r w:rsidR="00241862" w:rsidRPr="00CF193E">
        <w:rPr>
          <w:rFonts w:ascii="Garamond" w:hAnsi="Garamond"/>
          <w:sz w:val="24"/>
          <w:szCs w:val="24"/>
        </w:rPr>
        <w:t>cosiddetto “</w:t>
      </w:r>
      <w:r w:rsidR="00241862" w:rsidRPr="00CF193E">
        <w:rPr>
          <w:rFonts w:ascii="Garamond" w:hAnsi="Garamond"/>
          <w:i/>
          <w:sz w:val="24"/>
          <w:szCs w:val="24"/>
        </w:rPr>
        <w:t>Global Biodiversity Framework</w:t>
      </w:r>
      <w:r w:rsidR="00241862" w:rsidRPr="00CF193E">
        <w:rPr>
          <w:rFonts w:ascii="Garamond" w:hAnsi="Garamond"/>
          <w:sz w:val="24"/>
          <w:szCs w:val="24"/>
        </w:rPr>
        <w:t xml:space="preserve">”, </w:t>
      </w:r>
      <w:r w:rsidR="00456C5C" w:rsidRPr="00CF193E">
        <w:rPr>
          <w:rFonts w:ascii="Garamond" w:hAnsi="Garamond"/>
          <w:sz w:val="24"/>
          <w:szCs w:val="24"/>
        </w:rPr>
        <w:t>per contrastare la perdita di biodiversità</w:t>
      </w:r>
      <w:r w:rsidR="00241862" w:rsidRPr="00CF193E">
        <w:rPr>
          <w:rFonts w:ascii="Garamond" w:hAnsi="Garamond"/>
          <w:sz w:val="24"/>
          <w:szCs w:val="24"/>
        </w:rPr>
        <w:t xml:space="preserve"> che </w:t>
      </w:r>
      <w:r w:rsidR="00456C5C" w:rsidRPr="00CF193E">
        <w:rPr>
          <w:rFonts w:ascii="Garamond" w:hAnsi="Garamond"/>
          <w:sz w:val="24"/>
          <w:szCs w:val="24"/>
        </w:rPr>
        <w:t>prevede, oltre a strategie a lungo termine al 2050, anche obiettivi intermedi al 2030;</w:t>
      </w:r>
      <w:r w:rsidR="00241862" w:rsidRPr="00CF193E">
        <w:rPr>
          <w:rFonts w:ascii="Garamond" w:hAnsi="Garamond"/>
          <w:sz w:val="24"/>
          <w:szCs w:val="24"/>
        </w:rPr>
        <w:t xml:space="preserve"> in particolare</w:t>
      </w:r>
      <w:r w:rsidR="00D55155" w:rsidRPr="00CF193E">
        <w:rPr>
          <w:rFonts w:ascii="Garamond" w:hAnsi="Garamond"/>
          <w:sz w:val="24"/>
          <w:szCs w:val="24"/>
        </w:rPr>
        <w:t>,</w:t>
      </w:r>
      <w:r w:rsidR="00241862" w:rsidRPr="00CF193E">
        <w:rPr>
          <w:rFonts w:ascii="Garamond" w:hAnsi="Garamond"/>
          <w:sz w:val="24"/>
          <w:szCs w:val="24"/>
        </w:rPr>
        <w:t xml:space="preserve"> </w:t>
      </w:r>
      <w:r w:rsidR="009B7019" w:rsidRPr="00CF193E">
        <w:rPr>
          <w:rFonts w:ascii="Garamond" w:hAnsi="Garamond"/>
          <w:sz w:val="24"/>
          <w:szCs w:val="24"/>
        </w:rPr>
        <w:t>i</w:t>
      </w:r>
      <w:r w:rsidR="00456C5C" w:rsidRPr="00CF193E">
        <w:rPr>
          <w:rFonts w:ascii="Garamond" w:hAnsi="Garamond"/>
          <w:sz w:val="24"/>
          <w:szCs w:val="24"/>
        </w:rPr>
        <w:t xml:space="preserve">l </w:t>
      </w:r>
      <w:r w:rsidR="00241862" w:rsidRPr="00CF193E">
        <w:rPr>
          <w:rFonts w:ascii="Garamond" w:hAnsi="Garamond"/>
          <w:sz w:val="24"/>
          <w:szCs w:val="24"/>
        </w:rPr>
        <w:t xml:space="preserve">predetto </w:t>
      </w:r>
      <w:r w:rsidR="00456C5C" w:rsidRPr="00CF193E">
        <w:rPr>
          <w:rFonts w:ascii="Garamond" w:hAnsi="Garamond"/>
          <w:sz w:val="24"/>
          <w:szCs w:val="24"/>
        </w:rPr>
        <w:t xml:space="preserve">pacchetto è costituito da </w:t>
      </w:r>
      <w:r w:rsidR="009B7019" w:rsidRPr="00CF193E">
        <w:rPr>
          <w:rFonts w:ascii="Garamond" w:hAnsi="Garamond"/>
          <w:sz w:val="24"/>
          <w:szCs w:val="24"/>
        </w:rPr>
        <w:t>quattro</w:t>
      </w:r>
      <w:r w:rsidR="00456C5C" w:rsidRPr="00CF193E">
        <w:rPr>
          <w:rFonts w:ascii="Garamond" w:hAnsi="Garamond"/>
          <w:sz w:val="24"/>
          <w:szCs w:val="24"/>
        </w:rPr>
        <w:t xml:space="preserve"> obiettivi primari e racchiude 25 </w:t>
      </w:r>
      <w:r w:rsidR="00456C5C" w:rsidRPr="00CF193E">
        <w:rPr>
          <w:rFonts w:ascii="Garamond" w:hAnsi="Garamond"/>
          <w:i/>
          <w:sz w:val="24"/>
          <w:szCs w:val="24"/>
        </w:rPr>
        <w:t>target</w:t>
      </w:r>
      <w:r w:rsidR="00456C5C" w:rsidRPr="00CF193E">
        <w:rPr>
          <w:rFonts w:ascii="Garamond" w:hAnsi="Garamond"/>
          <w:sz w:val="24"/>
          <w:szCs w:val="24"/>
        </w:rPr>
        <w:t xml:space="preserve"> specifici che mirano anche a proteggere il 30</w:t>
      </w:r>
      <w:r w:rsidR="009B7019" w:rsidRPr="00CF193E">
        <w:rPr>
          <w:rFonts w:ascii="Garamond" w:hAnsi="Garamond"/>
          <w:sz w:val="24"/>
          <w:szCs w:val="24"/>
        </w:rPr>
        <w:t xml:space="preserve"> per cento </w:t>
      </w:r>
      <w:r w:rsidR="00456C5C" w:rsidRPr="00CF193E">
        <w:rPr>
          <w:rFonts w:ascii="Garamond" w:hAnsi="Garamond"/>
          <w:sz w:val="24"/>
          <w:szCs w:val="24"/>
        </w:rPr>
        <w:t>della superficie terrestre, delle aree costiere e delle acque interne entro il 2030 e a diminuire gli sprechi alimentari del 50</w:t>
      </w:r>
      <w:r w:rsidR="009B7019" w:rsidRPr="00CF193E">
        <w:rPr>
          <w:rFonts w:ascii="Garamond" w:hAnsi="Garamond"/>
          <w:sz w:val="24"/>
          <w:szCs w:val="24"/>
        </w:rPr>
        <w:t xml:space="preserve"> per cento</w:t>
      </w:r>
      <w:r w:rsidR="00456C5C" w:rsidRPr="00CF193E">
        <w:rPr>
          <w:rFonts w:ascii="Garamond" w:hAnsi="Garamond"/>
          <w:sz w:val="24"/>
          <w:szCs w:val="24"/>
        </w:rPr>
        <w:t xml:space="preserve">; </w:t>
      </w:r>
    </w:p>
    <w:p w14:paraId="00000013" w14:textId="07A6F236" w:rsidR="00CB7D0C" w:rsidRPr="00CF193E" w:rsidRDefault="00241862" w:rsidP="00AD1FF6">
      <w:pPr>
        <w:jc w:val="both"/>
        <w:rPr>
          <w:rFonts w:ascii="Garamond" w:hAnsi="Garamond"/>
          <w:sz w:val="24"/>
          <w:szCs w:val="24"/>
        </w:rPr>
      </w:pPr>
      <w:r w:rsidRPr="00CF193E">
        <w:rPr>
          <w:rFonts w:ascii="Garamond" w:hAnsi="Garamond"/>
          <w:sz w:val="24"/>
          <w:szCs w:val="24"/>
        </w:rPr>
        <w:t>s</w:t>
      </w:r>
      <w:r w:rsidR="00456C5C" w:rsidRPr="00CF193E">
        <w:rPr>
          <w:rFonts w:ascii="Garamond" w:hAnsi="Garamond"/>
          <w:sz w:val="24"/>
          <w:szCs w:val="24"/>
        </w:rPr>
        <w:t xml:space="preserve">empre all’interno del </w:t>
      </w:r>
      <w:r w:rsidR="00456C5C" w:rsidRPr="00CF193E">
        <w:rPr>
          <w:rFonts w:ascii="Garamond" w:hAnsi="Garamond"/>
          <w:i/>
          <w:sz w:val="24"/>
          <w:szCs w:val="24"/>
        </w:rPr>
        <w:t xml:space="preserve">Green Deal </w:t>
      </w:r>
      <w:r w:rsidR="00456C5C" w:rsidRPr="00CF193E">
        <w:rPr>
          <w:rFonts w:ascii="Garamond" w:hAnsi="Garamond"/>
          <w:sz w:val="24"/>
          <w:szCs w:val="24"/>
        </w:rPr>
        <w:t xml:space="preserve">Europeo è inoltre collocata la Strategia </w:t>
      </w:r>
      <w:r w:rsidRPr="00CF193E">
        <w:rPr>
          <w:rFonts w:ascii="Garamond" w:hAnsi="Garamond"/>
          <w:sz w:val="24"/>
          <w:szCs w:val="24"/>
        </w:rPr>
        <w:t>e</w:t>
      </w:r>
      <w:r w:rsidR="00456C5C" w:rsidRPr="00CF193E">
        <w:rPr>
          <w:rFonts w:ascii="Garamond" w:hAnsi="Garamond"/>
          <w:sz w:val="24"/>
          <w:szCs w:val="24"/>
        </w:rPr>
        <w:t xml:space="preserve">uropea per la </w:t>
      </w:r>
      <w:r w:rsidRPr="00CF193E">
        <w:rPr>
          <w:rFonts w:ascii="Garamond" w:hAnsi="Garamond"/>
          <w:sz w:val="24"/>
          <w:szCs w:val="24"/>
        </w:rPr>
        <w:t>b</w:t>
      </w:r>
      <w:r w:rsidR="00456C5C" w:rsidRPr="00CF193E">
        <w:rPr>
          <w:rFonts w:ascii="Garamond" w:hAnsi="Garamond"/>
          <w:sz w:val="24"/>
          <w:szCs w:val="24"/>
        </w:rPr>
        <w:t xml:space="preserve">iodiversità al 2030, </w:t>
      </w:r>
      <w:r w:rsidRPr="00CF193E">
        <w:rPr>
          <w:rFonts w:ascii="Garamond" w:hAnsi="Garamond"/>
          <w:sz w:val="24"/>
          <w:szCs w:val="24"/>
        </w:rPr>
        <w:t xml:space="preserve">un </w:t>
      </w:r>
      <w:r w:rsidR="00456C5C" w:rsidRPr="00CF193E">
        <w:rPr>
          <w:rFonts w:ascii="Garamond" w:hAnsi="Garamond"/>
          <w:sz w:val="24"/>
          <w:szCs w:val="24"/>
        </w:rPr>
        <w:t xml:space="preserve">piano a lungo termine da 20 miliardi di euro volto alla conservazione della natura che si pone l’obiettivo di invertire l’attuale tendenza di degradazione degli ecosistemi e che prevede una serie di azioni non soltanto </w:t>
      </w:r>
      <w:r w:rsidRPr="00CF193E">
        <w:rPr>
          <w:rFonts w:ascii="Garamond" w:hAnsi="Garamond"/>
          <w:sz w:val="24"/>
          <w:szCs w:val="24"/>
        </w:rPr>
        <w:t xml:space="preserve">finalizzate </w:t>
      </w:r>
      <w:r w:rsidR="00456C5C" w:rsidRPr="00CF193E">
        <w:rPr>
          <w:rFonts w:ascii="Garamond" w:hAnsi="Garamond"/>
          <w:sz w:val="24"/>
          <w:szCs w:val="24"/>
        </w:rPr>
        <w:t>all’estensione delle aree protette</w:t>
      </w:r>
      <w:r w:rsidR="00BB64FB" w:rsidRPr="00CF193E">
        <w:rPr>
          <w:rFonts w:ascii="Garamond" w:hAnsi="Garamond"/>
          <w:sz w:val="24"/>
          <w:szCs w:val="24"/>
        </w:rPr>
        <w:t xml:space="preserve"> Natura 2000</w:t>
      </w:r>
      <w:r w:rsidR="00456C5C" w:rsidRPr="00CF193E">
        <w:rPr>
          <w:rFonts w:ascii="Garamond" w:hAnsi="Garamond"/>
          <w:sz w:val="24"/>
          <w:szCs w:val="24"/>
        </w:rPr>
        <w:t xml:space="preserve">, ma anche ad una loro migliore conservazione e </w:t>
      </w:r>
      <w:r w:rsidRPr="00CF193E">
        <w:rPr>
          <w:rFonts w:ascii="Garamond" w:hAnsi="Garamond"/>
          <w:sz w:val="24"/>
          <w:szCs w:val="24"/>
        </w:rPr>
        <w:t>al</w:t>
      </w:r>
      <w:r w:rsidR="00BB64FB" w:rsidRPr="00CF193E">
        <w:rPr>
          <w:rFonts w:ascii="Garamond" w:hAnsi="Garamond"/>
          <w:sz w:val="24"/>
          <w:szCs w:val="24"/>
        </w:rPr>
        <w:t xml:space="preserve"> relativo</w:t>
      </w:r>
      <w:r w:rsidRPr="00CF193E">
        <w:rPr>
          <w:rFonts w:ascii="Garamond" w:hAnsi="Garamond"/>
          <w:sz w:val="24"/>
          <w:szCs w:val="24"/>
        </w:rPr>
        <w:t xml:space="preserve"> </w:t>
      </w:r>
      <w:r w:rsidR="00456C5C" w:rsidRPr="00CF193E">
        <w:rPr>
          <w:rFonts w:ascii="Garamond" w:hAnsi="Garamond"/>
          <w:sz w:val="24"/>
          <w:szCs w:val="24"/>
        </w:rPr>
        <w:t>monitoraggio</w:t>
      </w:r>
      <w:r w:rsidR="00D55155" w:rsidRPr="00CF193E">
        <w:rPr>
          <w:rFonts w:ascii="Garamond" w:hAnsi="Garamond"/>
          <w:sz w:val="24"/>
          <w:szCs w:val="24"/>
        </w:rPr>
        <w:t>,</w:t>
      </w:r>
      <w:r w:rsidR="00456C5C" w:rsidRPr="00CF193E">
        <w:rPr>
          <w:rFonts w:ascii="Garamond" w:hAnsi="Garamond"/>
          <w:sz w:val="24"/>
          <w:szCs w:val="24"/>
        </w:rPr>
        <w:t xml:space="preserve"> </w:t>
      </w:r>
      <w:r w:rsidR="00BB64FB" w:rsidRPr="00CF193E">
        <w:rPr>
          <w:rFonts w:ascii="Garamond" w:hAnsi="Garamond"/>
          <w:sz w:val="24"/>
          <w:szCs w:val="24"/>
        </w:rPr>
        <w:t>al fine di istituirne di nuove affinché la superficie totale protetta raggiunga almeno il 30 per cento della superficie terrestre e marina;</w:t>
      </w:r>
    </w:p>
    <w:p w14:paraId="00000015" w14:textId="2AA6A356" w:rsidR="00CB7D0C" w:rsidRPr="00CF193E" w:rsidRDefault="00BB64FB" w:rsidP="00AD1FF6">
      <w:pPr>
        <w:jc w:val="both"/>
        <w:rPr>
          <w:rFonts w:ascii="Garamond" w:hAnsi="Garamond"/>
          <w:sz w:val="24"/>
          <w:szCs w:val="24"/>
        </w:rPr>
      </w:pPr>
      <w:r w:rsidRPr="00CF193E">
        <w:rPr>
          <w:rFonts w:ascii="Garamond" w:hAnsi="Garamond"/>
          <w:sz w:val="24"/>
          <w:szCs w:val="24"/>
        </w:rPr>
        <w:t>l</w:t>
      </w:r>
      <w:r w:rsidR="00456C5C" w:rsidRPr="00CF193E">
        <w:rPr>
          <w:rFonts w:ascii="Garamond" w:hAnsi="Garamond"/>
          <w:sz w:val="24"/>
          <w:szCs w:val="24"/>
        </w:rPr>
        <w:t>a Strategia prevede inoltre il ripristino degli ecosistemi degradati in tutta l'UE entro il 2030 attraverso una serie di impegni e misure specific</w:t>
      </w:r>
      <w:r w:rsidRPr="00CF193E">
        <w:rPr>
          <w:rFonts w:ascii="Garamond" w:hAnsi="Garamond"/>
          <w:sz w:val="24"/>
          <w:szCs w:val="24"/>
        </w:rPr>
        <w:t>he</w:t>
      </w:r>
      <w:r w:rsidR="00456C5C" w:rsidRPr="00CF193E">
        <w:rPr>
          <w:rFonts w:ascii="Garamond" w:hAnsi="Garamond"/>
          <w:sz w:val="24"/>
          <w:szCs w:val="24"/>
        </w:rPr>
        <w:t>, tra cui la riduzione dell'uso e del rischio dei pesticidi del 50</w:t>
      </w:r>
      <w:r w:rsidRPr="00CF193E">
        <w:rPr>
          <w:rFonts w:ascii="Garamond" w:hAnsi="Garamond"/>
          <w:sz w:val="24"/>
          <w:szCs w:val="24"/>
        </w:rPr>
        <w:t xml:space="preserve"> per cento</w:t>
      </w:r>
      <w:r w:rsidR="00456C5C" w:rsidRPr="00CF193E">
        <w:rPr>
          <w:rFonts w:ascii="Garamond" w:hAnsi="Garamond"/>
          <w:sz w:val="24"/>
          <w:szCs w:val="24"/>
        </w:rPr>
        <w:t xml:space="preserve"> entro il 2030 e l'impianto di 3 miliardi di alberi all'interno dell'UE; </w:t>
      </w:r>
      <w:r w:rsidR="00456C5C" w:rsidRPr="00CF193E">
        <w:rPr>
          <w:rFonts w:ascii="Garamond" w:hAnsi="Garamond"/>
          <w:sz w:val="24"/>
          <w:szCs w:val="24"/>
        </w:rPr>
        <w:tab/>
      </w:r>
    </w:p>
    <w:p w14:paraId="42085393" w14:textId="68BDB20D" w:rsidR="001E211C" w:rsidRPr="00CF193E" w:rsidRDefault="001E211C" w:rsidP="00AD1FF6">
      <w:pPr>
        <w:jc w:val="both"/>
        <w:rPr>
          <w:rFonts w:ascii="Garamond" w:hAnsi="Garamond"/>
          <w:sz w:val="24"/>
          <w:szCs w:val="24"/>
        </w:rPr>
      </w:pPr>
      <w:r w:rsidRPr="00CF193E">
        <w:rPr>
          <w:rFonts w:ascii="Garamond" w:hAnsi="Garamond"/>
          <w:sz w:val="24"/>
          <w:szCs w:val="24"/>
        </w:rPr>
        <w:t xml:space="preserve">la Commissione europea ha proposto al Parlamento europeo l’adozione di una nuova normativa, </w:t>
      </w:r>
      <w:r w:rsidRPr="00CF193E">
        <w:rPr>
          <w:rFonts w:ascii="Garamond" w:hAnsi="Garamond"/>
          <w:i/>
          <w:sz w:val="24"/>
          <w:szCs w:val="24"/>
        </w:rPr>
        <w:t>Nature Restoration Law</w:t>
      </w:r>
      <w:r w:rsidRPr="00CF193E">
        <w:rPr>
          <w:rFonts w:ascii="Garamond" w:hAnsi="Garamond"/>
          <w:sz w:val="24"/>
          <w:szCs w:val="24"/>
        </w:rPr>
        <w:t>, volta a ripristinare l’</w:t>
      </w:r>
      <w:r w:rsidRPr="00CF193E">
        <w:rPr>
          <w:rFonts w:ascii="Garamond" w:hAnsi="Garamond"/>
          <w:i/>
          <w:sz w:val="24"/>
          <w:szCs w:val="24"/>
        </w:rPr>
        <w:t>habitat</w:t>
      </w:r>
      <w:r w:rsidRPr="00CF193E">
        <w:rPr>
          <w:rFonts w:ascii="Garamond" w:hAnsi="Garamond"/>
          <w:sz w:val="24"/>
          <w:szCs w:val="24"/>
        </w:rPr>
        <w:t xml:space="preserve"> naturale europeo. </w:t>
      </w:r>
      <w:r w:rsidR="00D55155" w:rsidRPr="00CF193E">
        <w:rPr>
          <w:rFonts w:ascii="Garamond" w:hAnsi="Garamond"/>
          <w:sz w:val="24"/>
          <w:szCs w:val="24"/>
        </w:rPr>
        <w:t xml:space="preserve">Muovendo dal dato allarmante </w:t>
      </w:r>
      <w:r w:rsidR="008421CF" w:rsidRPr="00CF193E">
        <w:rPr>
          <w:rFonts w:ascii="Garamond" w:hAnsi="Garamond"/>
          <w:sz w:val="24"/>
          <w:szCs w:val="24"/>
        </w:rPr>
        <w:t xml:space="preserve">da cui emerge </w:t>
      </w:r>
      <w:r w:rsidR="00D55155" w:rsidRPr="00CF193E">
        <w:rPr>
          <w:rFonts w:ascii="Garamond" w:hAnsi="Garamond"/>
          <w:sz w:val="24"/>
          <w:szCs w:val="24"/>
        </w:rPr>
        <w:t>che</w:t>
      </w:r>
      <w:r w:rsidR="008421CF" w:rsidRPr="00CF193E">
        <w:rPr>
          <w:rFonts w:ascii="Garamond" w:hAnsi="Garamond"/>
          <w:sz w:val="24"/>
          <w:szCs w:val="24"/>
        </w:rPr>
        <w:t xml:space="preserve"> </w:t>
      </w:r>
      <w:r w:rsidRPr="00CF193E">
        <w:rPr>
          <w:rFonts w:ascii="Garamond" w:hAnsi="Garamond"/>
          <w:sz w:val="24"/>
          <w:szCs w:val="24"/>
        </w:rPr>
        <w:t>l’80 per cento del patrimonio naturale dell’UE vers</w:t>
      </w:r>
      <w:r w:rsidR="008421CF" w:rsidRPr="00CF193E">
        <w:rPr>
          <w:rFonts w:ascii="Garamond" w:hAnsi="Garamond"/>
          <w:sz w:val="24"/>
          <w:szCs w:val="24"/>
        </w:rPr>
        <w:t>a</w:t>
      </w:r>
      <w:r w:rsidRPr="00CF193E">
        <w:rPr>
          <w:rFonts w:ascii="Garamond" w:hAnsi="Garamond"/>
          <w:sz w:val="24"/>
          <w:szCs w:val="24"/>
        </w:rPr>
        <w:t xml:space="preserve"> in cattive condizioni</w:t>
      </w:r>
      <w:r w:rsidR="00D55155" w:rsidRPr="00CF193E">
        <w:rPr>
          <w:rFonts w:ascii="Garamond" w:hAnsi="Garamond"/>
          <w:sz w:val="24"/>
          <w:szCs w:val="24"/>
        </w:rPr>
        <w:t>,</w:t>
      </w:r>
      <w:r w:rsidRPr="00CF193E">
        <w:rPr>
          <w:rFonts w:ascii="Garamond" w:hAnsi="Garamond"/>
          <w:sz w:val="24"/>
          <w:szCs w:val="24"/>
        </w:rPr>
        <w:t xml:space="preserve"> gli </w:t>
      </w:r>
      <w:r w:rsidR="00D55155" w:rsidRPr="00CF193E">
        <w:rPr>
          <w:rFonts w:ascii="Garamond" w:hAnsi="Garamond"/>
          <w:sz w:val="24"/>
          <w:szCs w:val="24"/>
        </w:rPr>
        <w:t>S</w:t>
      </w:r>
      <w:r w:rsidRPr="00CF193E">
        <w:rPr>
          <w:rFonts w:ascii="Garamond" w:hAnsi="Garamond"/>
          <w:sz w:val="24"/>
          <w:szCs w:val="24"/>
        </w:rPr>
        <w:t>tati membri saranno chiamati ad azioni di recupero degli ecosistemi anche con la finalità di combattere il cambiamento climatico e salva</w:t>
      </w:r>
      <w:r w:rsidR="008421CF" w:rsidRPr="00CF193E">
        <w:rPr>
          <w:rFonts w:ascii="Garamond" w:hAnsi="Garamond"/>
          <w:sz w:val="24"/>
          <w:szCs w:val="24"/>
        </w:rPr>
        <w:t>guardare</w:t>
      </w:r>
      <w:r w:rsidRPr="00CF193E">
        <w:rPr>
          <w:rFonts w:ascii="Garamond" w:hAnsi="Garamond"/>
          <w:sz w:val="24"/>
          <w:szCs w:val="24"/>
        </w:rPr>
        <w:t xml:space="preserve"> molte specie dall’estinzione</w:t>
      </w:r>
      <w:r w:rsidR="008421CF" w:rsidRPr="00CF193E">
        <w:rPr>
          <w:rFonts w:ascii="Garamond" w:hAnsi="Garamond"/>
          <w:sz w:val="24"/>
          <w:szCs w:val="24"/>
        </w:rPr>
        <w:t>,</w:t>
      </w:r>
      <w:r w:rsidRPr="00CF193E">
        <w:rPr>
          <w:rFonts w:ascii="Garamond" w:hAnsi="Garamond"/>
          <w:sz w:val="24"/>
          <w:szCs w:val="24"/>
        </w:rPr>
        <w:t xml:space="preserve"> riducendo i rischi di disastri ed eventi naturali catastrofici; </w:t>
      </w:r>
      <w:r w:rsidRPr="00CF193E">
        <w:rPr>
          <w:rFonts w:ascii="Garamond" w:hAnsi="Garamond"/>
          <w:sz w:val="24"/>
          <w:szCs w:val="24"/>
        </w:rPr>
        <w:tab/>
      </w:r>
    </w:p>
    <w:p w14:paraId="26171303" w14:textId="77777777" w:rsidR="001E211C" w:rsidRPr="00CF193E" w:rsidRDefault="001E211C" w:rsidP="00AD1FF6">
      <w:pPr>
        <w:jc w:val="both"/>
        <w:rPr>
          <w:rFonts w:ascii="Garamond" w:hAnsi="Garamond"/>
          <w:sz w:val="24"/>
          <w:szCs w:val="24"/>
        </w:rPr>
      </w:pPr>
      <w:r w:rsidRPr="00CF193E">
        <w:rPr>
          <w:rFonts w:ascii="Garamond" w:hAnsi="Garamond"/>
          <w:sz w:val="24"/>
          <w:szCs w:val="24"/>
        </w:rPr>
        <w:lastRenderedPageBreak/>
        <w:t>sulla base della citata strategia europea, il nostro Paese</w:t>
      </w:r>
      <w:r w:rsidR="00456C5C" w:rsidRPr="00CF193E">
        <w:rPr>
          <w:rFonts w:ascii="Garamond" w:hAnsi="Garamond"/>
          <w:sz w:val="24"/>
          <w:szCs w:val="24"/>
        </w:rPr>
        <w:t xml:space="preserve"> ha elaborato una strategia nazionale per la biodiversità al 2030, arrivando a definirne un testo consolidato nel marzo 2023; </w:t>
      </w:r>
      <w:r w:rsidR="00456C5C" w:rsidRPr="00CF193E">
        <w:rPr>
          <w:rFonts w:ascii="Garamond" w:hAnsi="Garamond"/>
          <w:sz w:val="24"/>
          <w:szCs w:val="24"/>
        </w:rPr>
        <w:tab/>
      </w:r>
    </w:p>
    <w:p w14:paraId="00000018" w14:textId="5B9F11D0" w:rsidR="00CB7D0C" w:rsidRPr="00CF193E" w:rsidRDefault="001E211C" w:rsidP="00AD1FF6">
      <w:pPr>
        <w:jc w:val="both"/>
        <w:rPr>
          <w:rFonts w:ascii="Garamond" w:hAnsi="Garamond"/>
          <w:sz w:val="24"/>
          <w:szCs w:val="24"/>
        </w:rPr>
      </w:pPr>
      <w:r w:rsidRPr="00CF193E">
        <w:rPr>
          <w:rFonts w:ascii="Garamond" w:hAnsi="Garamond"/>
          <w:sz w:val="24"/>
          <w:szCs w:val="24"/>
        </w:rPr>
        <w:t>l</w:t>
      </w:r>
      <w:r w:rsidR="00456C5C" w:rsidRPr="00CF193E">
        <w:rPr>
          <w:rFonts w:ascii="Garamond" w:hAnsi="Garamond"/>
          <w:sz w:val="24"/>
          <w:szCs w:val="24"/>
        </w:rPr>
        <w:t xml:space="preserve">a Strategia </w:t>
      </w:r>
      <w:r w:rsidRPr="00CF193E">
        <w:rPr>
          <w:rFonts w:ascii="Garamond" w:hAnsi="Garamond"/>
          <w:i/>
          <w:sz w:val="24"/>
          <w:szCs w:val="24"/>
        </w:rPr>
        <w:t>de quo</w:t>
      </w:r>
      <w:r w:rsidR="00456C5C" w:rsidRPr="00CF193E">
        <w:rPr>
          <w:rFonts w:ascii="Garamond" w:hAnsi="Garamond"/>
          <w:sz w:val="24"/>
          <w:szCs w:val="24"/>
        </w:rPr>
        <w:t xml:space="preserve"> prevede una serie di azioni finalizzate al raggiungimento di cinque obiettivi specifici riguardanti la protezione di almeno il 30</w:t>
      </w:r>
      <w:r w:rsidRPr="00CF193E">
        <w:rPr>
          <w:rFonts w:ascii="Garamond" w:hAnsi="Garamond"/>
          <w:sz w:val="24"/>
          <w:szCs w:val="24"/>
        </w:rPr>
        <w:t xml:space="preserve"> per cento</w:t>
      </w:r>
      <w:r w:rsidR="00456C5C" w:rsidRPr="00CF193E">
        <w:rPr>
          <w:rFonts w:ascii="Garamond" w:hAnsi="Garamond"/>
          <w:sz w:val="24"/>
          <w:szCs w:val="24"/>
        </w:rPr>
        <w:t xml:space="preserve"> della superficie terrestre e il 30</w:t>
      </w:r>
      <w:r w:rsidRPr="00CF193E">
        <w:rPr>
          <w:rFonts w:ascii="Garamond" w:hAnsi="Garamond"/>
          <w:sz w:val="24"/>
          <w:szCs w:val="24"/>
        </w:rPr>
        <w:t xml:space="preserve"> per cento</w:t>
      </w:r>
      <w:r w:rsidR="00456C5C" w:rsidRPr="00CF193E">
        <w:rPr>
          <w:rFonts w:ascii="Garamond" w:hAnsi="Garamond"/>
          <w:sz w:val="24"/>
          <w:szCs w:val="24"/>
        </w:rPr>
        <w:t xml:space="preserve"> della superficie marina </w:t>
      </w:r>
      <w:r w:rsidR="00456C5C" w:rsidRPr="00CF193E">
        <w:rPr>
          <w:rFonts w:ascii="Garamond" w:hAnsi="Garamond"/>
          <w:sz w:val="24"/>
          <w:szCs w:val="24"/>
        </w:rPr>
        <w:tab/>
        <w:t xml:space="preserve">attraverso un sistema integrato di aree protette, </w:t>
      </w:r>
      <w:r w:rsidRPr="00CF193E">
        <w:rPr>
          <w:rFonts w:ascii="Garamond" w:hAnsi="Garamond"/>
          <w:sz w:val="24"/>
          <w:szCs w:val="24"/>
        </w:rPr>
        <w:t xml:space="preserve">a </w:t>
      </w:r>
      <w:r w:rsidR="00456C5C" w:rsidRPr="00CF193E">
        <w:rPr>
          <w:rFonts w:ascii="Garamond" w:hAnsi="Garamond"/>
          <w:sz w:val="24"/>
          <w:szCs w:val="24"/>
        </w:rPr>
        <w:t xml:space="preserve">garantire la protezione rigorosa di almeno un terzo delle aree protette terrestri e marine </w:t>
      </w:r>
      <w:r w:rsidRPr="00CF193E">
        <w:rPr>
          <w:rFonts w:ascii="Garamond" w:hAnsi="Garamond"/>
          <w:sz w:val="24"/>
          <w:szCs w:val="24"/>
        </w:rPr>
        <w:t>e</w:t>
      </w:r>
      <w:r w:rsidR="00456C5C" w:rsidRPr="00CF193E">
        <w:rPr>
          <w:rFonts w:ascii="Garamond" w:hAnsi="Garamond"/>
          <w:sz w:val="24"/>
          <w:szCs w:val="24"/>
        </w:rPr>
        <w:t xml:space="preserve"> la connessione ecologico-funzionale delle </w:t>
      </w:r>
      <w:r w:rsidRPr="00CF193E">
        <w:rPr>
          <w:rFonts w:ascii="Garamond" w:hAnsi="Garamond"/>
          <w:sz w:val="24"/>
          <w:szCs w:val="24"/>
        </w:rPr>
        <w:t>stesse</w:t>
      </w:r>
      <w:r w:rsidR="00456C5C" w:rsidRPr="00CF193E">
        <w:rPr>
          <w:rFonts w:ascii="Garamond" w:hAnsi="Garamond"/>
          <w:sz w:val="24"/>
          <w:szCs w:val="24"/>
        </w:rPr>
        <w:t xml:space="preserve">, </w:t>
      </w:r>
      <w:r w:rsidRPr="00CF193E">
        <w:rPr>
          <w:rFonts w:ascii="Garamond" w:hAnsi="Garamond"/>
          <w:sz w:val="24"/>
          <w:szCs w:val="24"/>
        </w:rPr>
        <w:t xml:space="preserve">nonché a </w:t>
      </w:r>
      <w:r w:rsidR="00456C5C" w:rsidRPr="00CF193E">
        <w:rPr>
          <w:rFonts w:ascii="Garamond" w:hAnsi="Garamond"/>
          <w:sz w:val="24"/>
          <w:szCs w:val="24"/>
        </w:rPr>
        <w:t>gestire efficacemente le aree protette definendo obiettivi e misure di conservazione</w:t>
      </w:r>
      <w:r w:rsidRPr="00CF193E">
        <w:rPr>
          <w:rFonts w:ascii="Garamond" w:hAnsi="Garamond"/>
          <w:sz w:val="24"/>
          <w:szCs w:val="24"/>
        </w:rPr>
        <w:t>,</w:t>
      </w:r>
      <w:r w:rsidR="00456C5C" w:rsidRPr="00CF193E">
        <w:rPr>
          <w:rFonts w:ascii="Garamond" w:hAnsi="Garamond"/>
          <w:sz w:val="24"/>
          <w:szCs w:val="24"/>
        </w:rPr>
        <w:t xml:space="preserve"> monitorando</w:t>
      </w:r>
      <w:r w:rsidRPr="00CF193E">
        <w:rPr>
          <w:rFonts w:ascii="Garamond" w:hAnsi="Garamond"/>
          <w:sz w:val="24"/>
          <w:szCs w:val="24"/>
        </w:rPr>
        <w:t>ne</w:t>
      </w:r>
      <w:r w:rsidR="00456C5C" w:rsidRPr="00CF193E">
        <w:rPr>
          <w:rFonts w:ascii="Garamond" w:hAnsi="Garamond"/>
          <w:sz w:val="24"/>
          <w:szCs w:val="24"/>
        </w:rPr>
        <w:t xml:space="preserve"> la corretta attuazione, e </w:t>
      </w:r>
      <w:r w:rsidRPr="00CF193E">
        <w:rPr>
          <w:rFonts w:ascii="Garamond" w:hAnsi="Garamond"/>
          <w:sz w:val="24"/>
          <w:szCs w:val="24"/>
        </w:rPr>
        <w:t>prevedendo adeguati finanziamenti e misure incentivanti;</w:t>
      </w:r>
      <w:r w:rsidR="00456C5C" w:rsidRPr="00CF193E">
        <w:rPr>
          <w:rFonts w:ascii="Garamond" w:hAnsi="Garamond"/>
          <w:sz w:val="24"/>
          <w:szCs w:val="24"/>
        </w:rPr>
        <w:t xml:space="preserve"> </w:t>
      </w:r>
      <w:r w:rsidR="00456C5C" w:rsidRPr="00CF193E">
        <w:rPr>
          <w:rFonts w:ascii="Garamond" w:hAnsi="Garamond"/>
          <w:sz w:val="24"/>
          <w:szCs w:val="24"/>
        </w:rPr>
        <w:tab/>
      </w:r>
    </w:p>
    <w:p w14:paraId="007B45F6" w14:textId="70463D8D" w:rsidR="00403D14" w:rsidRPr="00CF193E" w:rsidRDefault="00403D14" w:rsidP="00AD1FF6">
      <w:pPr>
        <w:jc w:val="both"/>
        <w:rPr>
          <w:rFonts w:ascii="Garamond" w:hAnsi="Garamond"/>
          <w:i/>
          <w:sz w:val="24"/>
          <w:szCs w:val="24"/>
        </w:rPr>
      </w:pPr>
      <w:r w:rsidRPr="00CF193E">
        <w:rPr>
          <w:rFonts w:ascii="Garamond" w:hAnsi="Garamond"/>
          <w:i/>
          <w:sz w:val="24"/>
          <w:szCs w:val="24"/>
        </w:rPr>
        <w:t>considerato che,</w:t>
      </w:r>
    </w:p>
    <w:p w14:paraId="712DFE2F" w14:textId="62A8A3F9" w:rsidR="00403D14" w:rsidRPr="00CF193E" w:rsidRDefault="00456C5C" w:rsidP="00AD1FF6">
      <w:pPr>
        <w:jc w:val="both"/>
        <w:rPr>
          <w:rFonts w:ascii="Garamond" w:hAnsi="Garamond"/>
          <w:sz w:val="24"/>
          <w:szCs w:val="24"/>
        </w:rPr>
      </w:pPr>
      <w:r w:rsidRPr="00CF193E">
        <w:rPr>
          <w:rFonts w:ascii="Garamond" w:hAnsi="Garamond"/>
          <w:sz w:val="24"/>
          <w:szCs w:val="24"/>
        </w:rPr>
        <w:t xml:space="preserve">la tutela della biodiversità può </w:t>
      </w:r>
      <w:r w:rsidR="00403D14" w:rsidRPr="00CF193E">
        <w:rPr>
          <w:rFonts w:ascii="Garamond" w:hAnsi="Garamond"/>
          <w:sz w:val="24"/>
          <w:szCs w:val="24"/>
        </w:rPr>
        <w:t>contribuire in modo decisivo alla</w:t>
      </w:r>
      <w:r w:rsidRPr="00CF193E">
        <w:rPr>
          <w:rFonts w:ascii="Garamond" w:hAnsi="Garamond"/>
          <w:sz w:val="24"/>
          <w:szCs w:val="24"/>
        </w:rPr>
        <w:t xml:space="preserve"> trasformazion</w:t>
      </w:r>
      <w:r w:rsidR="00403D14" w:rsidRPr="00CF193E">
        <w:rPr>
          <w:rFonts w:ascii="Garamond" w:hAnsi="Garamond"/>
          <w:sz w:val="24"/>
          <w:szCs w:val="24"/>
        </w:rPr>
        <w:t>e</w:t>
      </w:r>
      <w:r w:rsidRPr="00CF193E">
        <w:rPr>
          <w:rFonts w:ascii="Garamond" w:hAnsi="Garamond"/>
          <w:sz w:val="24"/>
          <w:szCs w:val="24"/>
        </w:rPr>
        <w:t xml:space="preserve"> del tessuto economico</w:t>
      </w:r>
      <w:r w:rsidR="008421CF" w:rsidRPr="00CF193E">
        <w:rPr>
          <w:rFonts w:ascii="Garamond" w:hAnsi="Garamond"/>
          <w:sz w:val="24"/>
          <w:szCs w:val="24"/>
        </w:rPr>
        <w:t>,</w:t>
      </w:r>
      <w:r w:rsidRPr="00CF193E">
        <w:rPr>
          <w:rFonts w:ascii="Garamond" w:hAnsi="Garamond"/>
          <w:sz w:val="24"/>
          <w:szCs w:val="24"/>
        </w:rPr>
        <w:t xml:space="preserve"> </w:t>
      </w:r>
      <w:r w:rsidR="00403D14" w:rsidRPr="00CF193E">
        <w:rPr>
          <w:rFonts w:ascii="Garamond" w:hAnsi="Garamond"/>
          <w:sz w:val="24"/>
          <w:szCs w:val="24"/>
        </w:rPr>
        <w:t>creando</w:t>
      </w:r>
      <w:r w:rsidRPr="00CF193E">
        <w:rPr>
          <w:rFonts w:ascii="Garamond" w:hAnsi="Garamond"/>
          <w:sz w:val="24"/>
          <w:szCs w:val="24"/>
        </w:rPr>
        <w:t xml:space="preserve"> nuovi </w:t>
      </w:r>
      <w:r w:rsidR="00403D14" w:rsidRPr="00CF193E">
        <w:rPr>
          <w:rFonts w:ascii="Garamond" w:hAnsi="Garamond"/>
          <w:sz w:val="24"/>
          <w:szCs w:val="24"/>
        </w:rPr>
        <w:t xml:space="preserve">posti di </w:t>
      </w:r>
      <w:r w:rsidRPr="00CF193E">
        <w:rPr>
          <w:rFonts w:ascii="Garamond" w:hAnsi="Garamond"/>
          <w:sz w:val="24"/>
          <w:szCs w:val="24"/>
        </w:rPr>
        <w:t>lavor</w:t>
      </w:r>
      <w:r w:rsidR="00403D14" w:rsidRPr="00CF193E">
        <w:rPr>
          <w:rFonts w:ascii="Garamond" w:hAnsi="Garamond"/>
          <w:sz w:val="24"/>
          <w:szCs w:val="24"/>
        </w:rPr>
        <w:t>o</w:t>
      </w:r>
      <w:r w:rsidRPr="00CF193E">
        <w:rPr>
          <w:rFonts w:ascii="Garamond" w:hAnsi="Garamond"/>
          <w:sz w:val="24"/>
          <w:szCs w:val="24"/>
        </w:rPr>
        <w:t xml:space="preserve"> e </w:t>
      </w:r>
      <w:r w:rsidR="008421CF" w:rsidRPr="00CF193E">
        <w:rPr>
          <w:rFonts w:ascii="Garamond" w:hAnsi="Garamond"/>
          <w:sz w:val="24"/>
          <w:szCs w:val="24"/>
        </w:rPr>
        <w:t>crescita in chiave sostenibile</w:t>
      </w:r>
      <w:r w:rsidR="00403D14" w:rsidRPr="00CF193E">
        <w:rPr>
          <w:rFonts w:ascii="Garamond" w:hAnsi="Garamond"/>
          <w:sz w:val="24"/>
          <w:szCs w:val="24"/>
        </w:rPr>
        <w:t>;</w:t>
      </w:r>
      <w:r w:rsidRPr="00CF193E">
        <w:rPr>
          <w:rFonts w:ascii="Garamond" w:hAnsi="Garamond"/>
          <w:sz w:val="24"/>
          <w:szCs w:val="24"/>
        </w:rPr>
        <w:t xml:space="preserve"> </w:t>
      </w:r>
    </w:p>
    <w:p w14:paraId="200CE138" w14:textId="77777777" w:rsidR="003C7F87" w:rsidRPr="00CF193E" w:rsidRDefault="00403D14" w:rsidP="00AD1FF6">
      <w:pPr>
        <w:jc w:val="both"/>
        <w:rPr>
          <w:rFonts w:ascii="Garamond" w:hAnsi="Garamond"/>
          <w:sz w:val="24"/>
          <w:szCs w:val="24"/>
        </w:rPr>
      </w:pPr>
      <w:r w:rsidRPr="00CF193E">
        <w:rPr>
          <w:rFonts w:ascii="Garamond" w:hAnsi="Garamond"/>
          <w:sz w:val="24"/>
          <w:szCs w:val="24"/>
        </w:rPr>
        <w:t>i</w:t>
      </w:r>
      <w:r w:rsidR="00456C5C" w:rsidRPr="00CF193E">
        <w:rPr>
          <w:rFonts w:ascii="Garamond" w:hAnsi="Garamond"/>
          <w:sz w:val="24"/>
          <w:szCs w:val="24"/>
        </w:rPr>
        <w:t>n Italia, con il</w:t>
      </w:r>
      <w:r w:rsidRPr="00CF193E">
        <w:rPr>
          <w:rFonts w:ascii="Garamond" w:hAnsi="Garamond"/>
          <w:sz w:val="24"/>
          <w:szCs w:val="24"/>
        </w:rPr>
        <w:t xml:space="preserve"> c.d. dec</w:t>
      </w:r>
      <w:r w:rsidR="003C7F87" w:rsidRPr="00CF193E">
        <w:rPr>
          <w:rFonts w:ascii="Garamond" w:hAnsi="Garamond"/>
          <w:sz w:val="24"/>
          <w:szCs w:val="24"/>
        </w:rPr>
        <w:t>reto</w:t>
      </w:r>
      <w:r w:rsidRPr="00CF193E">
        <w:rPr>
          <w:rFonts w:ascii="Garamond" w:hAnsi="Garamond"/>
          <w:sz w:val="24"/>
          <w:szCs w:val="24"/>
        </w:rPr>
        <w:t xml:space="preserve"> Clima</w:t>
      </w:r>
      <w:r w:rsidR="00456C5C" w:rsidRPr="00CF193E">
        <w:rPr>
          <w:rFonts w:ascii="Garamond" w:hAnsi="Garamond"/>
          <w:sz w:val="24"/>
          <w:szCs w:val="24"/>
        </w:rPr>
        <w:t xml:space="preserve"> </w:t>
      </w:r>
      <w:r w:rsidR="003C7F87" w:rsidRPr="00CF193E">
        <w:rPr>
          <w:rFonts w:ascii="Garamond" w:hAnsi="Garamond"/>
          <w:sz w:val="24"/>
          <w:szCs w:val="24"/>
        </w:rPr>
        <w:t>(</w:t>
      </w:r>
      <w:r w:rsidR="00456C5C" w:rsidRPr="00CF193E">
        <w:rPr>
          <w:rFonts w:ascii="Garamond" w:hAnsi="Garamond"/>
          <w:sz w:val="24"/>
          <w:szCs w:val="24"/>
        </w:rPr>
        <w:t>decreto-legge 14 ottobre 2019</w:t>
      </w:r>
      <w:r w:rsidRPr="00CF193E">
        <w:rPr>
          <w:rFonts w:ascii="Garamond" w:hAnsi="Garamond"/>
          <w:sz w:val="24"/>
          <w:szCs w:val="24"/>
        </w:rPr>
        <w:t>,</w:t>
      </w:r>
      <w:r w:rsidR="00456C5C" w:rsidRPr="00CF193E">
        <w:rPr>
          <w:rFonts w:ascii="Garamond" w:hAnsi="Garamond"/>
          <w:sz w:val="24"/>
          <w:szCs w:val="24"/>
        </w:rPr>
        <w:t xml:space="preserve"> n.111</w:t>
      </w:r>
      <w:r w:rsidR="003C7F87" w:rsidRPr="00CF193E">
        <w:rPr>
          <w:rFonts w:ascii="Garamond" w:hAnsi="Garamond"/>
          <w:sz w:val="24"/>
          <w:szCs w:val="24"/>
        </w:rPr>
        <w:t>)</w:t>
      </w:r>
      <w:r w:rsidR="00456C5C" w:rsidRPr="00CF193E">
        <w:rPr>
          <w:rFonts w:ascii="Garamond" w:hAnsi="Garamond"/>
          <w:sz w:val="24"/>
          <w:szCs w:val="24"/>
        </w:rPr>
        <w:t xml:space="preserve"> sono state introdotte le “Zone Economiche Ambientali”</w:t>
      </w:r>
      <w:r w:rsidR="003C7F87" w:rsidRPr="00CF193E">
        <w:rPr>
          <w:rFonts w:ascii="Garamond" w:hAnsi="Garamond"/>
          <w:sz w:val="24"/>
          <w:szCs w:val="24"/>
        </w:rPr>
        <w:t>,</w:t>
      </w:r>
      <w:r w:rsidR="00456C5C" w:rsidRPr="00CF193E">
        <w:rPr>
          <w:rFonts w:ascii="Garamond" w:hAnsi="Garamond"/>
          <w:sz w:val="24"/>
          <w:szCs w:val="24"/>
        </w:rPr>
        <w:t xml:space="preserve"> coincidenti con i territori dei parchi nazionali, prevedendo risorse da destinare a progetti in favore delle micro e piccole imprese con sede operativa all'interno di esse che svolgono attivit</w:t>
      </w:r>
      <w:r w:rsidR="003C7F87" w:rsidRPr="00CF193E">
        <w:rPr>
          <w:rFonts w:ascii="Garamond" w:hAnsi="Garamond"/>
          <w:sz w:val="24"/>
          <w:szCs w:val="24"/>
        </w:rPr>
        <w:t>à</w:t>
      </w:r>
      <w:r w:rsidR="00456C5C" w:rsidRPr="00CF193E">
        <w:rPr>
          <w:rFonts w:ascii="Garamond" w:hAnsi="Garamond"/>
          <w:sz w:val="24"/>
          <w:szCs w:val="24"/>
        </w:rPr>
        <w:t xml:space="preserve"> economiche eco-compatibili; </w:t>
      </w:r>
      <w:r w:rsidR="00456C5C" w:rsidRPr="00CF193E">
        <w:rPr>
          <w:rFonts w:ascii="Garamond" w:hAnsi="Garamond"/>
          <w:sz w:val="24"/>
          <w:szCs w:val="24"/>
        </w:rPr>
        <w:tab/>
      </w:r>
    </w:p>
    <w:p w14:paraId="2AC53F8D" w14:textId="3E8E3D4A" w:rsidR="003C7F87" w:rsidRPr="00CF193E" w:rsidRDefault="008421CF" w:rsidP="003C7F87">
      <w:pPr>
        <w:jc w:val="both"/>
        <w:rPr>
          <w:rFonts w:ascii="Garamond" w:hAnsi="Garamond"/>
          <w:sz w:val="24"/>
          <w:szCs w:val="24"/>
        </w:rPr>
      </w:pPr>
      <w:r w:rsidRPr="00CF193E">
        <w:rPr>
          <w:rFonts w:ascii="Garamond" w:hAnsi="Garamond"/>
          <w:sz w:val="24"/>
          <w:szCs w:val="24"/>
        </w:rPr>
        <w:t>g</w:t>
      </w:r>
      <w:r w:rsidR="003C7F87" w:rsidRPr="00CF193E">
        <w:rPr>
          <w:rFonts w:ascii="Garamond" w:hAnsi="Garamond"/>
          <w:sz w:val="24"/>
          <w:szCs w:val="24"/>
        </w:rPr>
        <w:t>li atti della Commissione europea, inoltre</w:t>
      </w:r>
      <w:r w:rsidRPr="00CF193E">
        <w:rPr>
          <w:rFonts w:ascii="Garamond" w:hAnsi="Garamond"/>
          <w:sz w:val="24"/>
          <w:szCs w:val="24"/>
        </w:rPr>
        <w:t>,</w:t>
      </w:r>
      <w:r w:rsidR="003C7F87" w:rsidRPr="00CF193E">
        <w:rPr>
          <w:rFonts w:ascii="Garamond" w:hAnsi="Garamond"/>
          <w:sz w:val="24"/>
          <w:szCs w:val="24"/>
        </w:rPr>
        <w:t xml:space="preserve"> confermano che </w:t>
      </w:r>
      <w:r w:rsidR="00456C5C" w:rsidRPr="00CF193E">
        <w:rPr>
          <w:rFonts w:ascii="Garamond" w:hAnsi="Garamond"/>
          <w:sz w:val="24"/>
          <w:szCs w:val="24"/>
        </w:rPr>
        <w:t xml:space="preserve">ogni euro investito </w:t>
      </w:r>
      <w:r w:rsidR="003C7F87" w:rsidRPr="00CF193E">
        <w:rPr>
          <w:rFonts w:ascii="Garamond" w:hAnsi="Garamond"/>
          <w:sz w:val="24"/>
          <w:szCs w:val="24"/>
        </w:rPr>
        <w:t>per il</w:t>
      </w:r>
      <w:r w:rsidR="00456C5C" w:rsidRPr="00CF193E">
        <w:rPr>
          <w:rFonts w:ascii="Garamond" w:hAnsi="Garamond"/>
          <w:sz w:val="24"/>
          <w:szCs w:val="24"/>
        </w:rPr>
        <w:t xml:space="preserve"> ripristino della natura possa </w:t>
      </w:r>
      <w:r w:rsidR="003C7F87" w:rsidRPr="00CF193E">
        <w:rPr>
          <w:rFonts w:ascii="Garamond" w:hAnsi="Garamond"/>
          <w:sz w:val="24"/>
          <w:szCs w:val="24"/>
        </w:rPr>
        <w:t xml:space="preserve">apportare un valore economico compreso tra 8 e 38 euro, grazie ai servizi ecosistemici che favoriscono la sicurezza alimentare, la resilienza degli ecosistemi e l'attenuazione dei cambiamenti climatici, nonché la </w:t>
      </w:r>
      <w:r w:rsidRPr="00CF193E">
        <w:rPr>
          <w:rFonts w:ascii="Garamond" w:hAnsi="Garamond"/>
          <w:sz w:val="24"/>
          <w:szCs w:val="24"/>
        </w:rPr>
        <w:t xml:space="preserve">tutela della </w:t>
      </w:r>
      <w:r w:rsidR="003C7F87" w:rsidRPr="00CF193E">
        <w:rPr>
          <w:rFonts w:ascii="Garamond" w:hAnsi="Garamond"/>
          <w:sz w:val="24"/>
          <w:szCs w:val="24"/>
        </w:rPr>
        <w:t>salute umana;</w:t>
      </w:r>
    </w:p>
    <w:p w14:paraId="71D21BE4" w14:textId="0B37C828" w:rsidR="008421CF" w:rsidRPr="00CF193E" w:rsidRDefault="008421CF" w:rsidP="003C7F87">
      <w:pPr>
        <w:jc w:val="both"/>
        <w:rPr>
          <w:rFonts w:ascii="Garamond" w:hAnsi="Garamond"/>
          <w:i/>
          <w:sz w:val="24"/>
          <w:szCs w:val="24"/>
        </w:rPr>
      </w:pPr>
      <w:r w:rsidRPr="00CF193E">
        <w:rPr>
          <w:rFonts w:ascii="Garamond" w:hAnsi="Garamond"/>
          <w:i/>
          <w:sz w:val="24"/>
          <w:szCs w:val="24"/>
        </w:rPr>
        <w:t>considerato, altresì, che,</w:t>
      </w:r>
    </w:p>
    <w:p w14:paraId="1FB163F0" w14:textId="77777777" w:rsidR="0081030E" w:rsidRPr="00CF193E" w:rsidRDefault="00456C5C" w:rsidP="00AD1FF6">
      <w:pPr>
        <w:jc w:val="both"/>
        <w:rPr>
          <w:rFonts w:ascii="Garamond" w:hAnsi="Garamond"/>
          <w:sz w:val="24"/>
          <w:szCs w:val="24"/>
        </w:rPr>
      </w:pPr>
      <w:r w:rsidRPr="00CF193E">
        <w:rPr>
          <w:rFonts w:ascii="Garamond" w:hAnsi="Garamond"/>
          <w:sz w:val="24"/>
          <w:szCs w:val="24"/>
        </w:rPr>
        <w:t xml:space="preserve">siccità e biodiversità sono strettamente legate, in quanto la siccità può </w:t>
      </w:r>
      <w:r w:rsidR="0081030E" w:rsidRPr="00CF193E">
        <w:rPr>
          <w:rFonts w:ascii="Garamond" w:hAnsi="Garamond"/>
          <w:sz w:val="24"/>
          <w:szCs w:val="24"/>
        </w:rPr>
        <w:t>compromettere e deteriorare</w:t>
      </w:r>
      <w:r w:rsidRPr="00CF193E">
        <w:rPr>
          <w:rFonts w:ascii="Garamond" w:hAnsi="Garamond"/>
          <w:sz w:val="24"/>
          <w:szCs w:val="24"/>
        </w:rPr>
        <w:t xml:space="preserve"> gli </w:t>
      </w:r>
      <w:r w:rsidRPr="00CF193E">
        <w:rPr>
          <w:rFonts w:ascii="Garamond" w:hAnsi="Garamond"/>
          <w:i/>
          <w:sz w:val="24"/>
          <w:szCs w:val="24"/>
        </w:rPr>
        <w:t>habitat</w:t>
      </w:r>
      <w:r w:rsidRPr="00CF193E">
        <w:rPr>
          <w:rFonts w:ascii="Garamond" w:hAnsi="Garamond"/>
          <w:sz w:val="24"/>
          <w:szCs w:val="24"/>
        </w:rPr>
        <w:t xml:space="preserve"> naturali </w:t>
      </w:r>
      <w:r w:rsidR="0081030E" w:rsidRPr="00CF193E">
        <w:rPr>
          <w:rFonts w:ascii="Garamond" w:hAnsi="Garamond"/>
          <w:sz w:val="24"/>
          <w:szCs w:val="24"/>
        </w:rPr>
        <w:t>laddove</w:t>
      </w:r>
      <w:r w:rsidRPr="00CF193E">
        <w:rPr>
          <w:rFonts w:ascii="Garamond" w:hAnsi="Garamond"/>
          <w:sz w:val="24"/>
          <w:szCs w:val="24"/>
        </w:rPr>
        <w:t xml:space="preserve"> un’azione volta a limitare l’erosione e l’impatto sui corsi d’acqua può essere di sostegno anche al miglioramento delle condizioni naturali presenti sulla terra e in acqua; </w:t>
      </w:r>
      <w:r w:rsidRPr="00CF193E">
        <w:rPr>
          <w:rFonts w:ascii="Garamond" w:hAnsi="Garamond"/>
          <w:sz w:val="24"/>
          <w:szCs w:val="24"/>
        </w:rPr>
        <w:tab/>
      </w:r>
    </w:p>
    <w:p w14:paraId="0000001C" w14:textId="76066FBC" w:rsidR="00CB7D0C" w:rsidRPr="00CF193E" w:rsidRDefault="00456C5C" w:rsidP="00AD1FF6">
      <w:pPr>
        <w:jc w:val="both"/>
        <w:rPr>
          <w:rFonts w:ascii="Garamond" w:hAnsi="Garamond"/>
          <w:sz w:val="24"/>
          <w:szCs w:val="24"/>
        </w:rPr>
      </w:pPr>
      <w:r w:rsidRPr="00CF193E">
        <w:rPr>
          <w:rFonts w:ascii="Garamond" w:hAnsi="Garamond"/>
          <w:sz w:val="24"/>
          <w:szCs w:val="24"/>
          <w:highlight w:val="white"/>
        </w:rPr>
        <w:t xml:space="preserve">numerosi studi hanno evidenziato l'importanza di potenziare le aree verdi urbane e collegare frammenti di spazio verde con corridoi ecologici per migliorare la biodiversità e la dispersione di specie animali all'interno del paesaggio urbano, </w:t>
      </w:r>
      <w:r w:rsidR="0081030E" w:rsidRPr="00CF193E">
        <w:rPr>
          <w:rFonts w:ascii="Garamond" w:hAnsi="Garamond"/>
          <w:sz w:val="24"/>
          <w:szCs w:val="24"/>
          <w:highlight w:val="white"/>
        </w:rPr>
        <w:t>senza considerare gli</w:t>
      </w:r>
      <w:r w:rsidRPr="00CF193E">
        <w:rPr>
          <w:rFonts w:ascii="Garamond" w:hAnsi="Garamond"/>
          <w:sz w:val="24"/>
          <w:szCs w:val="24"/>
          <w:highlight w:val="white"/>
        </w:rPr>
        <w:t xml:space="preserve"> effetti positivi  sulla salute umana, sull'adattamento ai cambiamenti climatici, </w:t>
      </w:r>
      <w:r w:rsidR="00D64F45" w:rsidRPr="00CF193E">
        <w:rPr>
          <w:rFonts w:ascii="Garamond" w:hAnsi="Garamond"/>
          <w:sz w:val="24"/>
          <w:szCs w:val="24"/>
          <w:highlight w:val="white"/>
        </w:rPr>
        <w:t>i benefici connessi al miglioramento del</w:t>
      </w:r>
      <w:r w:rsidRPr="00CF193E">
        <w:rPr>
          <w:rFonts w:ascii="Garamond" w:hAnsi="Garamond"/>
          <w:sz w:val="24"/>
          <w:szCs w:val="24"/>
          <w:highlight w:val="white"/>
        </w:rPr>
        <w:t xml:space="preserve">la ventilazione urbana, </w:t>
      </w:r>
      <w:r w:rsidR="00D64F45" w:rsidRPr="00CF193E">
        <w:rPr>
          <w:rFonts w:ascii="Garamond" w:hAnsi="Garamond"/>
          <w:sz w:val="24"/>
          <w:szCs w:val="24"/>
          <w:highlight w:val="white"/>
        </w:rPr>
        <w:t>al</w:t>
      </w:r>
      <w:r w:rsidRPr="00CF193E">
        <w:rPr>
          <w:rFonts w:ascii="Garamond" w:hAnsi="Garamond"/>
          <w:sz w:val="24"/>
          <w:szCs w:val="24"/>
          <w:highlight w:val="white"/>
        </w:rPr>
        <w:t xml:space="preserve">la riduzione dell’inquinamento e </w:t>
      </w:r>
      <w:r w:rsidR="00D64F45" w:rsidRPr="00CF193E">
        <w:rPr>
          <w:rFonts w:ascii="Garamond" w:hAnsi="Garamond"/>
          <w:sz w:val="24"/>
          <w:szCs w:val="24"/>
          <w:highlight w:val="white"/>
        </w:rPr>
        <w:t>al</w:t>
      </w:r>
      <w:r w:rsidRPr="00CF193E">
        <w:rPr>
          <w:rFonts w:ascii="Garamond" w:hAnsi="Garamond"/>
          <w:sz w:val="24"/>
          <w:szCs w:val="24"/>
          <w:highlight w:val="white"/>
        </w:rPr>
        <w:t>la prevenzione dei fenomeni di dissesto idrogeologico</w:t>
      </w:r>
      <w:r w:rsidR="0081030E" w:rsidRPr="00CF193E">
        <w:rPr>
          <w:rFonts w:ascii="Garamond" w:hAnsi="Garamond"/>
          <w:sz w:val="24"/>
          <w:szCs w:val="24"/>
          <w:highlight w:val="white"/>
        </w:rPr>
        <w:t>;</w:t>
      </w:r>
    </w:p>
    <w:p w14:paraId="05265C84" w14:textId="6FF96AE4" w:rsidR="00F74AC9" w:rsidRPr="00CF193E" w:rsidRDefault="00456C5C" w:rsidP="00AD1FF6">
      <w:pPr>
        <w:jc w:val="both"/>
        <w:rPr>
          <w:rFonts w:ascii="Garamond" w:hAnsi="Garamond"/>
          <w:sz w:val="24"/>
          <w:szCs w:val="24"/>
        </w:rPr>
      </w:pPr>
      <w:r w:rsidRPr="00CF193E">
        <w:rPr>
          <w:rFonts w:ascii="Garamond" w:hAnsi="Garamond"/>
          <w:sz w:val="24"/>
          <w:szCs w:val="24"/>
        </w:rPr>
        <w:t>l’articolo 3 della legge 14 gennaio 2013</w:t>
      </w:r>
      <w:r w:rsidR="00D64F45" w:rsidRPr="00CF193E">
        <w:rPr>
          <w:rFonts w:ascii="Garamond" w:hAnsi="Garamond"/>
          <w:sz w:val="24"/>
          <w:szCs w:val="24"/>
        </w:rPr>
        <w:t>,</w:t>
      </w:r>
      <w:r w:rsidRPr="00CF193E">
        <w:rPr>
          <w:rFonts w:ascii="Garamond" w:hAnsi="Garamond"/>
          <w:sz w:val="24"/>
          <w:szCs w:val="24"/>
        </w:rPr>
        <w:t xml:space="preserve"> n.</w:t>
      </w:r>
      <w:r w:rsidR="00D64F45" w:rsidRPr="00CF193E">
        <w:rPr>
          <w:rFonts w:ascii="Garamond" w:hAnsi="Garamond"/>
          <w:sz w:val="24"/>
          <w:szCs w:val="24"/>
        </w:rPr>
        <w:t xml:space="preserve"> </w:t>
      </w:r>
      <w:r w:rsidRPr="00CF193E">
        <w:rPr>
          <w:rFonts w:ascii="Garamond" w:hAnsi="Garamond"/>
          <w:sz w:val="24"/>
          <w:szCs w:val="24"/>
        </w:rPr>
        <w:t xml:space="preserve">10 ha previsto l’istituzione presso il Ministero dell'ambiente e della tutela del territorio e del mare </w:t>
      </w:r>
      <w:r w:rsidR="00D64F45" w:rsidRPr="00CF193E">
        <w:rPr>
          <w:rFonts w:ascii="Garamond" w:hAnsi="Garamond"/>
          <w:sz w:val="24"/>
          <w:szCs w:val="24"/>
        </w:rPr>
        <w:t>di</w:t>
      </w:r>
      <w:r w:rsidRPr="00CF193E">
        <w:rPr>
          <w:rFonts w:ascii="Garamond" w:hAnsi="Garamond"/>
          <w:sz w:val="24"/>
          <w:szCs w:val="24"/>
        </w:rPr>
        <w:t xml:space="preserve"> un Comitato per lo sviluppo del verde pubblico con compiti relativi alla definizione di un piano finalizzato a fissare “criteri e linee guida per la realizzazione di aree verdi permanenti intorno alle maggiori conurbazioni e di filari alberati lungo le strade, per consentire un adeguamento dell'edilizia e delle infrastrutture pubbliche e scolastiche che garantisca la riqualificazione degli edifici”; </w:t>
      </w:r>
      <w:r w:rsidRPr="00CF193E">
        <w:rPr>
          <w:rFonts w:ascii="Garamond" w:hAnsi="Garamond"/>
          <w:sz w:val="24"/>
          <w:szCs w:val="24"/>
        </w:rPr>
        <w:tab/>
      </w:r>
    </w:p>
    <w:p w14:paraId="0C8456E0" w14:textId="57B52260" w:rsidR="00F74AC9" w:rsidRPr="00CF193E" w:rsidRDefault="002C3914" w:rsidP="002C3914">
      <w:pPr>
        <w:jc w:val="both"/>
        <w:rPr>
          <w:rFonts w:ascii="Garamond" w:hAnsi="Garamond"/>
          <w:sz w:val="24"/>
          <w:szCs w:val="24"/>
          <w:highlight w:val="white"/>
        </w:rPr>
      </w:pPr>
      <w:r w:rsidRPr="00CF193E">
        <w:rPr>
          <w:rFonts w:ascii="Garamond" w:hAnsi="Garamond"/>
          <w:sz w:val="24"/>
          <w:szCs w:val="24"/>
          <w:highlight w:val="white"/>
        </w:rPr>
        <w:t>la</w:t>
      </w:r>
      <w:r w:rsidR="00F74AC9" w:rsidRPr="00CF193E">
        <w:rPr>
          <w:rFonts w:ascii="Garamond" w:hAnsi="Garamond"/>
          <w:sz w:val="24"/>
          <w:szCs w:val="24"/>
          <w:highlight w:val="white"/>
        </w:rPr>
        <w:t> </w:t>
      </w:r>
      <w:r w:rsidR="00F74AC9" w:rsidRPr="00CF193E">
        <w:rPr>
          <w:rFonts w:ascii="Garamond" w:hAnsi="Garamond"/>
          <w:bCs/>
          <w:sz w:val="24"/>
          <w:szCs w:val="24"/>
          <w:highlight w:val="white"/>
        </w:rPr>
        <w:t>Componente 4 - Misura 3</w:t>
      </w:r>
      <w:r w:rsidR="00F74AC9" w:rsidRPr="00CF193E">
        <w:rPr>
          <w:rFonts w:ascii="Garamond" w:hAnsi="Garamond"/>
          <w:sz w:val="24"/>
          <w:szCs w:val="24"/>
          <w:highlight w:val="white"/>
        </w:rPr>
        <w:t> della Missione 2</w:t>
      </w:r>
      <w:r w:rsidRPr="00CF193E">
        <w:rPr>
          <w:rFonts w:ascii="Garamond" w:hAnsi="Garamond"/>
          <w:sz w:val="24"/>
          <w:szCs w:val="24"/>
          <w:highlight w:val="white"/>
        </w:rPr>
        <w:t xml:space="preserve"> del PNRR è dedicata al</w:t>
      </w:r>
      <w:r w:rsidR="00F74AC9" w:rsidRPr="00CF193E">
        <w:rPr>
          <w:rFonts w:ascii="Garamond" w:hAnsi="Garamond"/>
          <w:sz w:val="24"/>
          <w:szCs w:val="24"/>
          <w:highlight w:val="white"/>
        </w:rPr>
        <w:t>la salvaguardia delle aree verdi e della biodiversità,</w:t>
      </w:r>
      <w:r w:rsidR="00306CD0" w:rsidRPr="00CF193E">
        <w:rPr>
          <w:rFonts w:ascii="Garamond" w:hAnsi="Garamond"/>
          <w:sz w:val="24"/>
          <w:szCs w:val="24"/>
          <w:highlight w:val="white"/>
        </w:rPr>
        <w:t xml:space="preserve"> che</w:t>
      </w:r>
      <w:r w:rsidRPr="00CF193E">
        <w:rPr>
          <w:rFonts w:ascii="Garamond" w:hAnsi="Garamond"/>
          <w:sz w:val="24"/>
          <w:szCs w:val="24"/>
          <w:highlight w:val="white"/>
        </w:rPr>
        <w:t>, come già evidenziato,</w:t>
      </w:r>
      <w:r w:rsidR="00F74AC9" w:rsidRPr="00CF193E">
        <w:rPr>
          <w:rFonts w:ascii="Garamond" w:hAnsi="Garamond"/>
          <w:sz w:val="24"/>
          <w:szCs w:val="24"/>
          <w:highlight w:val="white"/>
        </w:rPr>
        <w:t xml:space="preserve"> </w:t>
      </w:r>
      <w:r w:rsidR="00306CD0" w:rsidRPr="00CF193E">
        <w:rPr>
          <w:rFonts w:ascii="Garamond" w:hAnsi="Garamond"/>
          <w:sz w:val="24"/>
          <w:szCs w:val="24"/>
          <w:highlight w:val="white"/>
        </w:rPr>
        <w:t xml:space="preserve">rappresenta </w:t>
      </w:r>
      <w:r w:rsidR="00F74AC9" w:rsidRPr="00CF193E">
        <w:rPr>
          <w:rFonts w:ascii="Garamond" w:hAnsi="Garamond"/>
          <w:sz w:val="24"/>
          <w:szCs w:val="24"/>
          <w:highlight w:val="white"/>
        </w:rPr>
        <w:t>una priorità assoluta per l’Unione Europea</w:t>
      </w:r>
      <w:r w:rsidRPr="00CF193E">
        <w:rPr>
          <w:rFonts w:ascii="Garamond" w:hAnsi="Garamond"/>
          <w:sz w:val="24"/>
          <w:szCs w:val="24"/>
          <w:highlight w:val="white"/>
        </w:rPr>
        <w:t>. In particolare, l</w:t>
      </w:r>
      <w:r w:rsidR="00F74AC9" w:rsidRPr="00CF193E">
        <w:rPr>
          <w:rFonts w:ascii="Garamond" w:hAnsi="Garamond"/>
          <w:sz w:val="24"/>
          <w:szCs w:val="24"/>
          <w:highlight w:val="white"/>
        </w:rPr>
        <w:t xml:space="preserve">’investimento </w:t>
      </w:r>
      <w:r w:rsidRPr="00CF193E">
        <w:rPr>
          <w:rFonts w:ascii="Garamond" w:hAnsi="Garamond"/>
          <w:sz w:val="24"/>
          <w:szCs w:val="24"/>
          <w:highlight w:val="white"/>
        </w:rPr>
        <w:t xml:space="preserve">3.1, </w:t>
      </w:r>
      <w:r w:rsidR="00306CD0" w:rsidRPr="00CF193E">
        <w:rPr>
          <w:rFonts w:ascii="Garamond" w:hAnsi="Garamond"/>
          <w:sz w:val="24"/>
          <w:szCs w:val="24"/>
          <w:highlight w:val="white"/>
        </w:rPr>
        <w:t>con</w:t>
      </w:r>
      <w:r w:rsidRPr="00CF193E">
        <w:rPr>
          <w:rFonts w:ascii="Garamond" w:hAnsi="Garamond"/>
          <w:sz w:val="24"/>
          <w:szCs w:val="24"/>
          <w:highlight w:val="white"/>
        </w:rPr>
        <w:t xml:space="preserve"> uno stanziamento pari a 330.000.000 euro, </w:t>
      </w:r>
      <w:r w:rsidR="00F74AC9" w:rsidRPr="00CF193E">
        <w:rPr>
          <w:rFonts w:ascii="Garamond" w:hAnsi="Garamond"/>
          <w:sz w:val="24"/>
          <w:szCs w:val="24"/>
          <w:highlight w:val="white"/>
        </w:rPr>
        <w:t>mira a proteggere le aree verdi e ad aumentarne il numero, con l'obiettivo sia di preservare e rafforzare la biodiversità che di migliorare la qualità della vita degli abitanti di tali aree. Le azioni devono incentrarsi sulle 14 Città metropolitane italiane, sempre più esposte a problemi ambientali come l'inquinamento atmosferico, la perdita di biodiversità e gli effetti dei cambiamenti climatici</w:t>
      </w:r>
      <w:r w:rsidR="00D471A2" w:rsidRPr="00CF193E">
        <w:rPr>
          <w:rFonts w:ascii="Garamond" w:hAnsi="Garamond"/>
          <w:sz w:val="24"/>
          <w:szCs w:val="24"/>
          <w:highlight w:val="white"/>
        </w:rPr>
        <w:t>;</w:t>
      </w:r>
      <w:r w:rsidRPr="00CF193E">
        <w:rPr>
          <w:rFonts w:ascii="Garamond" w:hAnsi="Garamond"/>
          <w:sz w:val="24"/>
          <w:szCs w:val="24"/>
          <w:highlight w:val="white"/>
        </w:rPr>
        <w:t xml:space="preserve"> </w:t>
      </w:r>
    </w:p>
    <w:p w14:paraId="2DCBD193" w14:textId="77777777" w:rsidR="00112F34" w:rsidRPr="002C71B8" w:rsidRDefault="00112F34" w:rsidP="00112F34">
      <w:pPr>
        <w:jc w:val="both"/>
        <w:rPr>
          <w:rFonts w:ascii="Garamond" w:hAnsi="Garamond"/>
          <w:sz w:val="24"/>
          <w:szCs w:val="24"/>
        </w:rPr>
      </w:pPr>
      <w:r w:rsidRPr="002C71B8">
        <w:rPr>
          <w:rFonts w:ascii="Garamond" w:hAnsi="Garamond"/>
          <w:sz w:val="24"/>
          <w:szCs w:val="24"/>
        </w:rPr>
        <w:t>Considerato che l’articolo 6 della legge 14 gennaio 2013 n.10 prevede che le regioni,</w:t>
      </w:r>
      <w:r>
        <w:rPr>
          <w:rFonts w:ascii="Garamond" w:hAnsi="Garamond"/>
          <w:sz w:val="24"/>
          <w:szCs w:val="24"/>
        </w:rPr>
        <w:t xml:space="preserve"> </w:t>
      </w:r>
      <w:r w:rsidRPr="002C71B8">
        <w:rPr>
          <w:rFonts w:ascii="Garamond" w:hAnsi="Garamond"/>
          <w:sz w:val="24"/>
          <w:szCs w:val="24"/>
        </w:rPr>
        <w:t>le province e i comuni, ciascuno nell</w:t>
      </w:r>
      <w:r>
        <w:rPr>
          <w:rFonts w:ascii="Garamond" w:hAnsi="Garamond"/>
          <w:sz w:val="24"/>
          <w:szCs w:val="24"/>
        </w:rPr>
        <w:t>’</w:t>
      </w:r>
      <w:r w:rsidRPr="002C71B8">
        <w:rPr>
          <w:rFonts w:ascii="Garamond" w:hAnsi="Garamond"/>
          <w:sz w:val="24"/>
          <w:szCs w:val="24"/>
        </w:rPr>
        <w:t>ambito delle proprie competenze e delle risorse</w:t>
      </w:r>
      <w:r>
        <w:rPr>
          <w:rFonts w:ascii="Garamond" w:hAnsi="Garamond"/>
          <w:sz w:val="24"/>
          <w:szCs w:val="24"/>
        </w:rPr>
        <w:t xml:space="preserve"> </w:t>
      </w:r>
      <w:r w:rsidRPr="002C71B8">
        <w:rPr>
          <w:rFonts w:ascii="Garamond" w:hAnsi="Garamond"/>
          <w:sz w:val="24"/>
          <w:szCs w:val="24"/>
        </w:rPr>
        <w:t xml:space="preserve">disponibili, “promuovono </w:t>
      </w:r>
      <w:r w:rsidRPr="002C71B8">
        <w:rPr>
          <w:rFonts w:ascii="Garamond" w:hAnsi="Garamond"/>
          <w:sz w:val="24"/>
          <w:szCs w:val="24"/>
        </w:rPr>
        <w:lastRenderedPageBreak/>
        <w:t>l</w:t>
      </w:r>
      <w:r>
        <w:rPr>
          <w:rFonts w:ascii="Garamond" w:hAnsi="Garamond"/>
          <w:sz w:val="24"/>
          <w:szCs w:val="24"/>
        </w:rPr>
        <w:t>’</w:t>
      </w:r>
      <w:r w:rsidRPr="002C71B8">
        <w:rPr>
          <w:rFonts w:ascii="Garamond" w:hAnsi="Garamond"/>
          <w:sz w:val="24"/>
          <w:szCs w:val="24"/>
        </w:rPr>
        <w:t>incremento degli spazi verdi urbani, di «cinture verdi»</w:t>
      </w:r>
      <w:r>
        <w:rPr>
          <w:rFonts w:ascii="Garamond" w:hAnsi="Garamond"/>
          <w:sz w:val="24"/>
          <w:szCs w:val="24"/>
        </w:rPr>
        <w:t xml:space="preserve"> </w:t>
      </w:r>
      <w:r w:rsidRPr="002C71B8">
        <w:rPr>
          <w:rFonts w:ascii="Garamond" w:hAnsi="Garamond"/>
          <w:sz w:val="24"/>
          <w:szCs w:val="24"/>
        </w:rPr>
        <w:t>intorno alle conurbazioni per delimitare gli spazi urbani, adottando misure per la</w:t>
      </w:r>
      <w:r>
        <w:rPr>
          <w:rFonts w:ascii="Garamond" w:hAnsi="Garamond"/>
          <w:sz w:val="24"/>
          <w:szCs w:val="24"/>
        </w:rPr>
        <w:t xml:space="preserve"> </w:t>
      </w:r>
      <w:r w:rsidRPr="002C71B8">
        <w:rPr>
          <w:rFonts w:ascii="Garamond" w:hAnsi="Garamond"/>
          <w:sz w:val="24"/>
          <w:szCs w:val="24"/>
        </w:rPr>
        <w:t>formazione del personale e l</w:t>
      </w:r>
      <w:r>
        <w:rPr>
          <w:rFonts w:ascii="Garamond" w:hAnsi="Garamond"/>
          <w:sz w:val="24"/>
          <w:szCs w:val="24"/>
        </w:rPr>
        <w:t>’</w:t>
      </w:r>
      <w:r w:rsidRPr="002C71B8">
        <w:rPr>
          <w:rFonts w:ascii="Garamond" w:hAnsi="Garamond"/>
          <w:sz w:val="24"/>
          <w:szCs w:val="24"/>
        </w:rPr>
        <w:t>elaborazione di capitolati finalizzati alla migliore</w:t>
      </w:r>
      <w:r>
        <w:rPr>
          <w:rFonts w:ascii="Garamond" w:hAnsi="Garamond"/>
          <w:sz w:val="24"/>
          <w:szCs w:val="24"/>
        </w:rPr>
        <w:t xml:space="preserve"> </w:t>
      </w:r>
      <w:r w:rsidRPr="002C71B8">
        <w:rPr>
          <w:rFonts w:ascii="Garamond" w:hAnsi="Garamond"/>
          <w:sz w:val="24"/>
          <w:szCs w:val="24"/>
        </w:rPr>
        <w:t>utilizzazione e manutenzione delle aree</w:t>
      </w:r>
      <w:r>
        <w:rPr>
          <w:rFonts w:ascii="Garamond" w:hAnsi="Garamond"/>
          <w:sz w:val="24"/>
          <w:szCs w:val="24"/>
        </w:rPr>
        <w:t xml:space="preserve"> </w:t>
      </w:r>
      <w:r w:rsidRPr="002C71B8">
        <w:rPr>
          <w:rFonts w:ascii="Garamond" w:hAnsi="Garamond"/>
          <w:i/>
          <w:iCs/>
          <w:sz w:val="24"/>
          <w:szCs w:val="24"/>
        </w:rPr>
        <w:t>”nonché a provvedere all’adozione di “misure volte a favorire il risparmio e l’efficienza energetica, l’assorbimento delle polveri sottili e a ridurre l’effetto isola di calore estiva, favorendo al contempo una regolare raccolta delle acque piovane”</w:t>
      </w:r>
      <w:r w:rsidRPr="002C71B8">
        <w:rPr>
          <w:rFonts w:ascii="Garamond" w:hAnsi="Garamond"/>
          <w:sz w:val="24"/>
          <w:szCs w:val="24"/>
        </w:rPr>
        <w:t>;</w:t>
      </w:r>
    </w:p>
    <w:p w14:paraId="1D3F005A" w14:textId="77777777" w:rsidR="00112F34" w:rsidRPr="00112F34" w:rsidRDefault="00112F34" w:rsidP="00112F34">
      <w:pPr>
        <w:spacing w:after="120"/>
        <w:jc w:val="both"/>
        <w:rPr>
          <w:rFonts w:ascii="Garamond" w:hAnsi="Garamond"/>
          <w:sz w:val="24"/>
          <w:szCs w:val="24"/>
        </w:rPr>
      </w:pPr>
      <w:r w:rsidRPr="00112F34">
        <w:rPr>
          <w:rFonts w:ascii="Garamond" w:hAnsi="Garamond"/>
          <w:sz w:val="24"/>
          <w:szCs w:val="24"/>
        </w:rPr>
        <w:t>Impegna la Giunta regionale a:</w:t>
      </w:r>
    </w:p>
    <w:p w14:paraId="4979EF32" w14:textId="5830E435" w:rsidR="00112F34" w:rsidRPr="00112F34" w:rsidRDefault="00112F34" w:rsidP="00112F34">
      <w:pPr>
        <w:pStyle w:val="Paragrafoelenco"/>
        <w:numPr>
          <w:ilvl w:val="0"/>
          <w:numId w:val="5"/>
        </w:numPr>
        <w:spacing w:after="120"/>
        <w:jc w:val="both"/>
        <w:rPr>
          <w:rFonts w:ascii="Garamond" w:hAnsi="Garamond"/>
          <w:sz w:val="24"/>
          <w:szCs w:val="24"/>
        </w:rPr>
      </w:pPr>
      <w:r w:rsidRPr="00112F34">
        <w:rPr>
          <w:rFonts w:ascii="Garamond" w:hAnsi="Garamond"/>
          <w:sz w:val="24"/>
          <w:szCs w:val="24"/>
        </w:rPr>
        <w:t>Elaborare un programma per definire tempistiche e risorse necessarie per il</w:t>
      </w:r>
      <w:r w:rsidRPr="00112F34">
        <w:rPr>
          <w:rFonts w:ascii="Garamond" w:hAnsi="Garamond"/>
          <w:sz w:val="24"/>
          <w:szCs w:val="24"/>
        </w:rPr>
        <w:t xml:space="preserve"> </w:t>
      </w:r>
      <w:r w:rsidRPr="00112F34">
        <w:rPr>
          <w:rFonts w:ascii="Garamond" w:hAnsi="Garamond"/>
          <w:sz w:val="24"/>
          <w:szCs w:val="24"/>
        </w:rPr>
        <w:t>risanamento dei Siti di Interesse Regionale (SIR) ai fini di bonifica sul territorio</w:t>
      </w:r>
      <w:r w:rsidRPr="00112F34">
        <w:rPr>
          <w:rFonts w:ascii="Garamond" w:hAnsi="Garamond"/>
          <w:sz w:val="24"/>
          <w:szCs w:val="24"/>
        </w:rPr>
        <w:t xml:space="preserve"> </w:t>
      </w:r>
      <w:r w:rsidRPr="00112F34">
        <w:rPr>
          <w:rFonts w:ascii="Garamond" w:hAnsi="Garamond"/>
          <w:sz w:val="24"/>
          <w:szCs w:val="24"/>
        </w:rPr>
        <w:t xml:space="preserve">regionale oltre a quelli </w:t>
      </w:r>
      <w:r w:rsidR="00F10C50">
        <w:rPr>
          <w:rFonts w:ascii="Garamond" w:hAnsi="Garamond"/>
          <w:sz w:val="24"/>
          <w:szCs w:val="24"/>
        </w:rPr>
        <w:t>censiti</w:t>
      </w:r>
      <w:r w:rsidRPr="00112F34">
        <w:rPr>
          <w:rFonts w:ascii="Garamond" w:hAnsi="Garamond"/>
          <w:sz w:val="24"/>
          <w:szCs w:val="24"/>
        </w:rPr>
        <w:t xml:space="preserve"> nel Piano Regionale Bonifiche, prevedendo a</w:t>
      </w:r>
      <w:r w:rsidRPr="00112F34">
        <w:rPr>
          <w:rFonts w:ascii="Garamond" w:hAnsi="Garamond"/>
          <w:sz w:val="24"/>
          <w:szCs w:val="24"/>
        </w:rPr>
        <w:t xml:space="preserve"> </w:t>
      </w:r>
      <w:r w:rsidRPr="00112F34">
        <w:rPr>
          <w:rFonts w:ascii="Garamond" w:hAnsi="Garamond"/>
          <w:sz w:val="24"/>
          <w:szCs w:val="24"/>
        </w:rPr>
        <w:t>identificare le necessarie coperture finanziarie per il completamento degli interventi di</w:t>
      </w:r>
      <w:r w:rsidRPr="00112F34">
        <w:rPr>
          <w:rFonts w:ascii="Garamond" w:hAnsi="Garamond"/>
          <w:sz w:val="24"/>
          <w:szCs w:val="24"/>
        </w:rPr>
        <w:t xml:space="preserve"> </w:t>
      </w:r>
      <w:r w:rsidRPr="00112F34">
        <w:rPr>
          <w:rFonts w:ascii="Garamond" w:hAnsi="Garamond"/>
          <w:sz w:val="24"/>
          <w:szCs w:val="24"/>
        </w:rPr>
        <w:t>bonifica o di messa in sicurezza permanente previsti per ognuno di essi nonché una</w:t>
      </w:r>
      <w:r w:rsidRPr="00112F34">
        <w:rPr>
          <w:rFonts w:ascii="Garamond" w:hAnsi="Garamond"/>
          <w:sz w:val="24"/>
          <w:szCs w:val="24"/>
        </w:rPr>
        <w:t xml:space="preserve"> </w:t>
      </w:r>
      <w:r w:rsidRPr="00112F34">
        <w:rPr>
          <w:rFonts w:ascii="Garamond" w:hAnsi="Garamond"/>
          <w:sz w:val="24"/>
          <w:szCs w:val="24"/>
        </w:rPr>
        <w:t>stima relativa a quando potranno essere concluse le attività;</w:t>
      </w:r>
    </w:p>
    <w:p w14:paraId="5599679B" w14:textId="2E56AFD8" w:rsidR="00112F34" w:rsidRPr="00112F34" w:rsidRDefault="00112F34" w:rsidP="00112F34">
      <w:pPr>
        <w:pStyle w:val="Paragrafoelenco"/>
        <w:numPr>
          <w:ilvl w:val="0"/>
          <w:numId w:val="5"/>
        </w:numPr>
        <w:spacing w:after="120"/>
        <w:jc w:val="both"/>
        <w:rPr>
          <w:rFonts w:ascii="Garamond" w:hAnsi="Garamond"/>
          <w:sz w:val="24"/>
          <w:szCs w:val="24"/>
        </w:rPr>
      </w:pPr>
      <w:r w:rsidRPr="00112F34">
        <w:rPr>
          <w:rFonts w:ascii="Garamond" w:hAnsi="Garamond"/>
          <w:sz w:val="24"/>
          <w:szCs w:val="24"/>
        </w:rPr>
        <w:t>Sviluppare soluzioni per il supporto dello sviluppo sostenibile in aree protette sulla</w:t>
      </w:r>
      <w:r w:rsidRPr="00112F34">
        <w:rPr>
          <w:rFonts w:ascii="Garamond" w:hAnsi="Garamond"/>
          <w:sz w:val="24"/>
          <w:szCs w:val="24"/>
        </w:rPr>
        <w:t xml:space="preserve"> </w:t>
      </w:r>
      <w:r w:rsidRPr="00112F34">
        <w:rPr>
          <w:rFonts w:ascii="Garamond" w:hAnsi="Garamond"/>
          <w:sz w:val="24"/>
          <w:szCs w:val="24"/>
        </w:rPr>
        <w:t>scorta di quanto già previsto per i parchi nazionali con le Zone Economiche</w:t>
      </w:r>
      <w:r w:rsidRPr="00112F34">
        <w:rPr>
          <w:rFonts w:ascii="Garamond" w:hAnsi="Garamond"/>
          <w:sz w:val="24"/>
          <w:szCs w:val="24"/>
        </w:rPr>
        <w:t xml:space="preserve"> </w:t>
      </w:r>
      <w:r w:rsidRPr="00112F34">
        <w:rPr>
          <w:rFonts w:ascii="Garamond" w:hAnsi="Garamond"/>
          <w:sz w:val="24"/>
          <w:szCs w:val="24"/>
        </w:rPr>
        <w:t>Ambientali di cui al decreto-legge 14 ottobre 2019, n.11 con particolare attenzione</w:t>
      </w:r>
      <w:r w:rsidRPr="00112F34">
        <w:rPr>
          <w:rFonts w:ascii="Garamond" w:hAnsi="Garamond"/>
          <w:sz w:val="24"/>
          <w:szCs w:val="24"/>
        </w:rPr>
        <w:t xml:space="preserve"> </w:t>
      </w:r>
      <w:r w:rsidRPr="00112F34">
        <w:rPr>
          <w:rFonts w:ascii="Garamond" w:hAnsi="Garamond"/>
          <w:sz w:val="24"/>
          <w:szCs w:val="24"/>
        </w:rPr>
        <w:t>alle attività che supportano e meglio si integrano con i compiti di vigilanza dei Siti</w:t>
      </w:r>
      <w:r w:rsidRPr="00112F34">
        <w:rPr>
          <w:rFonts w:ascii="Garamond" w:hAnsi="Garamond"/>
          <w:sz w:val="24"/>
          <w:szCs w:val="24"/>
        </w:rPr>
        <w:t xml:space="preserve"> </w:t>
      </w:r>
      <w:r w:rsidRPr="00112F34">
        <w:rPr>
          <w:rFonts w:ascii="Garamond" w:hAnsi="Garamond"/>
          <w:sz w:val="24"/>
          <w:szCs w:val="24"/>
        </w:rPr>
        <w:t>Natura 2000;</w:t>
      </w:r>
    </w:p>
    <w:p w14:paraId="38506D51" w14:textId="7FE8AD27" w:rsidR="00112F34" w:rsidRPr="00112F34" w:rsidRDefault="00112F34" w:rsidP="00112F34">
      <w:pPr>
        <w:pStyle w:val="Paragrafoelenco"/>
        <w:numPr>
          <w:ilvl w:val="0"/>
          <w:numId w:val="5"/>
        </w:numPr>
        <w:spacing w:after="120"/>
        <w:jc w:val="both"/>
        <w:rPr>
          <w:rFonts w:ascii="Garamond" w:hAnsi="Garamond"/>
          <w:sz w:val="24"/>
          <w:szCs w:val="24"/>
        </w:rPr>
      </w:pPr>
      <w:r w:rsidRPr="00112F34">
        <w:rPr>
          <w:rFonts w:ascii="Garamond" w:hAnsi="Garamond"/>
          <w:sz w:val="24"/>
          <w:szCs w:val="24"/>
        </w:rPr>
        <w:t>Individuare le misure necessarie per la predisposizione di un piano regionale per il</w:t>
      </w:r>
      <w:r w:rsidRPr="00112F34">
        <w:rPr>
          <w:rFonts w:ascii="Garamond" w:hAnsi="Garamond"/>
          <w:sz w:val="24"/>
          <w:szCs w:val="24"/>
        </w:rPr>
        <w:t xml:space="preserve"> </w:t>
      </w:r>
      <w:r w:rsidRPr="00112F34">
        <w:rPr>
          <w:rFonts w:ascii="Garamond" w:hAnsi="Garamond"/>
          <w:sz w:val="24"/>
          <w:szCs w:val="24"/>
        </w:rPr>
        <w:t>ripristino degli ecosistemi, in linea con la programmazione europea e nazionale in</w:t>
      </w:r>
      <w:r w:rsidRPr="00112F34">
        <w:rPr>
          <w:rFonts w:ascii="Garamond" w:hAnsi="Garamond"/>
          <w:sz w:val="24"/>
          <w:szCs w:val="24"/>
        </w:rPr>
        <w:t xml:space="preserve"> </w:t>
      </w:r>
      <w:r w:rsidRPr="00112F34">
        <w:rPr>
          <w:rFonts w:ascii="Garamond" w:hAnsi="Garamond"/>
          <w:sz w:val="24"/>
          <w:szCs w:val="24"/>
        </w:rPr>
        <w:t>materia di biodiversità;</w:t>
      </w:r>
    </w:p>
    <w:p w14:paraId="0FF6474E" w14:textId="6D98DFF7" w:rsidR="00112F34" w:rsidRPr="00112F34" w:rsidRDefault="00112F34" w:rsidP="00112F34">
      <w:pPr>
        <w:pStyle w:val="Paragrafoelenco"/>
        <w:numPr>
          <w:ilvl w:val="0"/>
          <w:numId w:val="5"/>
        </w:numPr>
        <w:spacing w:after="120"/>
        <w:jc w:val="both"/>
        <w:rPr>
          <w:rFonts w:ascii="Garamond" w:hAnsi="Garamond"/>
          <w:sz w:val="24"/>
          <w:szCs w:val="24"/>
        </w:rPr>
      </w:pPr>
      <w:r w:rsidRPr="00112F34">
        <w:rPr>
          <w:rFonts w:ascii="Garamond" w:hAnsi="Garamond"/>
          <w:sz w:val="24"/>
          <w:szCs w:val="24"/>
        </w:rPr>
        <w:t>Promuovere attività divulgative e didattiche per contrastare l’introduzione di specie</w:t>
      </w:r>
      <w:r w:rsidRPr="00112F34">
        <w:rPr>
          <w:rFonts w:ascii="Garamond" w:hAnsi="Garamond"/>
          <w:sz w:val="24"/>
          <w:szCs w:val="24"/>
        </w:rPr>
        <w:t xml:space="preserve"> </w:t>
      </w:r>
      <w:r w:rsidRPr="00112F34">
        <w:rPr>
          <w:rFonts w:ascii="Garamond" w:hAnsi="Garamond"/>
          <w:sz w:val="24"/>
          <w:szCs w:val="24"/>
        </w:rPr>
        <w:t>esotiche invasive;</w:t>
      </w:r>
    </w:p>
    <w:p w14:paraId="0000002A" w14:textId="3DB49E32" w:rsidR="00CB7D0C" w:rsidRPr="00112F34" w:rsidRDefault="00112F34" w:rsidP="00112F34">
      <w:pPr>
        <w:pStyle w:val="Paragrafoelenco"/>
        <w:numPr>
          <w:ilvl w:val="0"/>
          <w:numId w:val="5"/>
        </w:numPr>
        <w:spacing w:after="120"/>
        <w:jc w:val="both"/>
        <w:rPr>
          <w:rFonts w:ascii="Garamond" w:hAnsi="Garamond"/>
          <w:sz w:val="24"/>
          <w:szCs w:val="24"/>
        </w:rPr>
      </w:pPr>
      <w:r w:rsidRPr="00112F34">
        <w:rPr>
          <w:rFonts w:ascii="Garamond" w:hAnsi="Garamond"/>
          <w:sz w:val="24"/>
          <w:szCs w:val="24"/>
        </w:rPr>
        <w:t>Promuovere attività divulgative e campagne informative, in collaborazione con il</w:t>
      </w:r>
      <w:r w:rsidRPr="00112F34">
        <w:rPr>
          <w:rFonts w:ascii="Garamond" w:hAnsi="Garamond"/>
          <w:sz w:val="24"/>
          <w:szCs w:val="24"/>
        </w:rPr>
        <w:t xml:space="preserve"> </w:t>
      </w:r>
      <w:r w:rsidRPr="00112F34">
        <w:rPr>
          <w:rFonts w:ascii="Garamond" w:hAnsi="Garamond"/>
          <w:sz w:val="24"/>
          <w:szCs w:val="24"/>
        </w:rPr>
        <w:t>servizio fitosanitario regionale, circa gli effetti dei prodotti fitosanitari sulla</w:t>
      </w:r>
      <w:r w:rsidRPr="00112F34">
        <w:rPr>
          <w:rFonts w:ascii="Garamond" w:hAnsi="Garamond"/>
          <w:sz w:val="24"/>
          <w:szCs w:val="24"/>
        </w:rPr>
        <w:t xml:space="preserve"> </w:t>
      </w:r>
      <w:r w:rsidRPr="00112F34">
        <w:rPr>
          <w:rFonts w:ascii="Garamond" w:hAnsi="Garamond"/>
          <w:sz w:val="24"/>
          <w:szCs w:val="24"/>
        </w:rPr>
        <w:t>biodiversità e sugli agroecosistemi, informando circa la disponibilità di trattamenti di</w:t>
      </w:r>
      <w:r w:rsidRPr="00112F34">
        <w:rPr>
          <w:rFonts w:ascii="Garamond" w:hAnsi="Garamond"/>
          <w:sz w:val="24"/>
          <w:szCs w:val="24"/>
        </w:rPr>
        <w:t xml:space="preserve"> </w:t>
      </w:r>
      <w:r w:rsidRPr="00112F34">
        <w:rPr>
          <w:rFonts w:ascii="Garamond" w:hAnsi="Garamond"/>
          <w:sz w:val="24"/>
          <w:szCs w:val="24"/>
        </w:rPr>
        <w:t>precisione e su pratiche alternative</w:t>
      </w:r>
      <w:r w:rsidRPr="00112F34">
        <w:rPr>
          <w:rFonts w:ascii="Garamond" w:hAnsi="Garamond"/>
          <w:sz w:val="24"/>
          <w:szCs w:val="24"/>
        </w:rPr>
        <w:t xml:space="preserve">. </w:t>
      </w:r>
    </w:p>
    <w:sectPr w:rsidR="00CB7D0C" w:rsidRPr="00112F34">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25FB"/>
    <w:multiLevelType w:val="hybridMultilevel"/>
    <w:tmpl w:val="7EF2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7756B0"/>
    <w:multiLevelType w:val="multilevel"/>
    <w:tmpl w:val="E0D86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9781A28"/>
    <w:multiLevelType w:val="hybridMultilevel"/>
    <w:tmpl w:val="68AA9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D021E9"/>
    <w:multiLevelType w:val="multilevel"/>
    <w:tmpl w:val="2A4AD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990E2D"/>
    <w:multiLevelType w:val="multilevel"/>
    <w:tmpl w:val="0CDCB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41064646">
    <w:abstractNumId w:val="3"/>
  </w:num>
  <w:num w:numId="2" w16cid:durableId="1928150429">
    <w:abstractNumId w:val="4"/>
  </w:num>
  <w:num w:numId="3" w16cid:durableId="1845701951">
    <w:abstractNumId w:val="1"/>
  </w:num>
  <w:num w:numId="4" w16cid:durableId="208808164">
    <w:abstractNumId w:val="0"/>
  </w:num>
  <w:num w:numId="5" w16cid:durableId="759259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D0C"/>
    <w:rsid w:val="00016E8E"/>
    <w:rsid w:val="000809A2"/>
    <w:rsid w:val="000D567D"/>
    <w:rsid w:val="00112F34"/>
    <w:rsid w:val="001C2A56"/>
    <w:rsid w:val="001E211C"/>
    <w:rsid w:val="00241862"/>
    <w:rsid w:val="002B4FFB"/>
    <w:rsid w:val="002C1705"/>
    <w:rsid w:val="002C3914"/>
    <w:rsid w:val="0030412A"/>
    <w:rsid w:val="00306CD0"/>
    <w:rsid w:val="0031737C"/>
    <w:rsid w:val="00332A1C"/>
    <w:rsid w:val="00355091"/>
    <w:rsid w:val="003C7F87"/>
    <w:rsid w:val="00403D14"/>
    <w:rsid w:val="00410227"/>
    <w:rsid w:val="00456C5C"/>
    <w:rsid w:val="004E27DD"/>
    <w:rsid w:val="005375D6"/>
    <w:rsid w:val="00542CB1"/>
    <w:rsid w:val="005D1F58"/>
    <w:rsid w:val="00714646"/>
    <w:rsid w:val="007868B9"/>
    <w:rsid w:val="0081030E"/>
    <w:rsid w:val="00824769"/>
    <w:rsid w:val="008421CF"/>
    <w:rsid w:val="00872844"/>
    <w:rsid w:val="00875681"/>
    <w:rsid w:val="00924BDA"/>
    <w:rsid w:val="009A2D25"/>
    <w:rsid w:val="009B7019"/>
    <w:rsid w:val="00AD1FF6"/>
    <w:rsid w:val="00BB64FB"/>
    <w:rsid w:val="00C64E22"/>
    <w:rsid w:val="00CB7D0C"/>
    <w:rsid w:val="00CF193E"/>
    <w:rsid w:val="00D26297"/>
    <w:rsid w:val="00D36546"/>
    <w:rsid w:val="00D471A2"/>
    <w:rsid w:val="00D55155"/>
    <w:rsid w:val="00D64F45"/>
    <w:rsid w:val="00DE4A44"/>
    <w:rsid w:val="00E946BB"/>
    <w:rsid w:val="00EC4AB8"/>
    <w:rsid w:val="00F10C50"/>
    <w:rsid w:val="00F74A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8903"/>
  <w15:docId w15:val="{32D95D80-9A14-49BA-A07F-1388D19E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AD1FF6"/>
    <w:rPr>
      <w:color w:val="0000FF" w:themeColor="hyperlink"/>
      <w:u w:val="single"/>
    </w:rPr>
  </w:style>
  <w:style w:type="character" w:styleId="Enfasigrassetto">
    <w:name w:val="Strong"/>
    <w:basedOn w:val="Carpredefinitoparagrafo"/>
    <w:uiPriority w:val="22"/>
    <w:qFormat/>
    <w:rsid w:val="00F74AC9"/>
    <w:rPr>
      <w:b/>
      <w:bCs/>
    </w:rPr>
  </w:style>
  <w:style w:type="paragraph" w:customStyle="1" w:styleId="rtejustify">
    <w:name w:val="rtejustify"/>
    <w:basedOn w:val="Normale"/>
    <w:rsid w:val="00F74AC9"/>
    <w:pPr>
      <w:spacing w:before="100" w:beforeAutospacing="1" w:after="100" w:afterAutospacing="1" w:line="240" w:lineRule="auto"/>
    </w:pPr>
    <w:rPr>
      <w:rFonts w:ascii="Times New Roman" w:eastAsia="Times New Roman" w:hAnsi="Times New Roman" w:cs="Times New Roman"/>
      <w:sz w:val="24"/>
      <w:szCs w:val="24"/>
    </w:rPr>
  </w:style>
  <w:style w:type="paragraph" w:styleId="NormaleWeb">
    <w:name w:val="Normal (Web)"/>
    <w:basedOn w:val="Normale"/>
    <w:uiPriority w:val="99"/>
    <w:unhideWhenUsed/>
    <w:rsid w:val="000D567D"/>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112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939496">
      <w:bodyDiv w:val="1"/>
      <w:marLeft w:val="0"/>
      <w:marRight w:val="0"/>
      <w:marTop w:val="0"/>
      <w:marBottom w:val="0"/>
      <w:divBdr>
        <w:top w:val="none" w:sz="0" w:space="0" w:color="auto"/>
        <w:left w:val="none" w:sz="0" w:space="0" w:color="auto"/>
        <w:bottom w:val="none" w:sz="0" w:space="0" w:color="auto"/>
        <w:right w:val="none" w:sz="0" w:space="0" w:color="auto"/>
      </w:divBdr>
    </w:div>
    <w:div w:id="984698399">
      <w:bodyDiv w:val="1"/>
      <w:marLeft w:val="0"/>
      <w:marRight w:val="0"/>
      <w:marTop w:val="0"/>
      <w:marBottom w:val="0"/>
      <w:divBdr>
        <w:top w:val="none" w:sz="0" w:space="0" w:color="auto"/>
        <w:left w:val="none" w:sz="0" w:space="0" w:color="auto"/>
        <w:bottom w:val="none" w:sz="0" w:space="0" w:color="auto"/>
        <w:right w:val="none" w:sz="0" w:space="0" w:color="auto"/>
      </w:divBdr>
    </w:div>
    <w:div w:id="1117064820">
      <w:bodyDiv w:val="1"/>
      <w:marLeft w:val="0"/>
      <w:marRight w:val="0"/>
      <w:marTop w:val="0"/>
      <w:marBottom w:val="0"/>
      <w:divBdr>
        <w:top w:val="none" w:sz="0" w:space="0" w:color="auto"/>
        <w:left w:val="none" w:sz="0" w:space="0" w:color="auto"/>
        <w:bottom w:val="none" w:sz="0" w:space="0" w:color="auto"/>
        <w:right w:val="none" w:sz="0" w:space="0" w:color="auto"/>
      </w:divBdr>
    </w:div>
    <w:div w:id="1426808786">
      <w:bodyDiv w:val="1"/>
      <w:marLeft w:val="0"/>
      <w:marRight w:val="0"/>
      <w:marTop w:val="0"/>
      <w:marBottom w:val="0"/>
      <w:divBdr>
        <w:top w:val="none" w:sz="0" w:space="0" w:color="auto"/>
        <w:left w:val="none" w:sz="0" w:space="0" w:color="auto"/>
        <w:bottom w:val="none" w:sz="0" w:space="0" w:color="auto"/>
        <w:right w:val="none" w:sz="0" w:space="0" w:color="auto"/>
      </w:divBdr>
    </w:div>
    <w:div w:id="1481577617">
      <w:bodyDiv w:val="1"/>
      <w:marLeft w:val="0"/>
      <w:marRight w:val="0"/>
      <w:marTop w:val="0"/>
      <w:marBottom w:val="0"/>
      <w:divBdr>
        <w:top w:val="none" w:sz="0" w:space="0" w:color="auto"/>
        <w:left w:val="none" w:sz="0" w:space="0" w:color="auto"/>
        <w:bottom w:val="none" w:sz="0" w:space="0" w:color="auto"/>
        <w:right w:val="none" w:sz="0" w:space="0" w:color="auto"/>
      </w:divBdr>
    </w:div>
    <w:div w:id="2088843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2077</Words>
  <Characters>11842</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CdD</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Pierluigi Rossi</cp:lastModifiedBy>
  <cp:revision>4</cp:revision>
  <dcterms:created xsi:type="dcterms:W3CDTF">2023-05-16T14:34:00Z</dcterms:created>
  <dcterms:modified xsi:type="dcterms:W3CDTF">2023-05-16T14:41:00Z</dcterms:modified>
</cp:coreProperties>
</file>